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4B" w:rsidRPr="00A349EC" w:rsidRDefault="002B4C4B" w:rsidP="00755047">
      <w:pPr>
        <w:spacing w:line="240" w:lineRule="auto"/>
        <w:jc w:val="center"/>
        <w:rPr>
          <w:rFonts w:ascii="Times New Roman" w:hAnsi="Times New Roman" w:cs="Times New Roman"/>
          <w:b/>
          <w:sz w:val="32"/>
        </w:rPr>
      </w:pPr>
    </w:p>
    <w:p w:rsidR="002B4C4B" w:rsidRPr="00A349EC" w:rsidRDefault="002B4C4B" w:rsidP="00755047">
      <w:pPr>
        <w:spacing w:line="240" w:lineRule="auto"/>
        <w:jc w:val="center"/>
        <w:rPr>
          <w:rFonts w:ascii="Times New Roman" w:hAnsi="Times New Roman" w:cs="Times New Roman"/>
          <w:b/>
          <w:sz w:val="32"/>
        </w:rPr>
      </w:pPr>
    </w:p>
    <w:p w:rsidR="002B4C4B" w:rsidRPr="00A349EC" w:rsidRDefault="002B4C4B" w:rsidP="00755047">
      <w:pPr>
        <w:spacing w:line="240" w:lineRule="auto"/>
        <w:jc w:val="center"/>
        <w:rPr>
          <w:rFonts w:ascii="Times New Roman" w:hAnsi="Times New Roman" w:cs="Times New Roman"/>
          <w:b/>
          <w:sz w:val="32"/>
        </w:rPr>
      </w:pPr>
    </w:p>
    <w:p w:rsidR="002B4C4B" w:rsidRPr="00A349EC" w:rsidRDefault="002B4C4B" w:rsidP="00755047">
      <w:pPr>
        <w:spacing w:line="240" w:lineRule="auto"/>
        <w:jc w:val="center"/>
        <w:rPr>
          <w:rFonts w:ascii="Times New Roman" w:hAnsi="Times New Roman" w:cs="Times New Roman"/>
          <w:b/>
          <w:sz w:val="32"/>
        </w:rPr>
      </w:pPr>
    </w:p>
    <w:p w:rsidR="002B4C4B" w:rsidRPr="00A349EC" w:rsidRDefault="002B4C4B" w:rsidP="00755047">
      <w:pPr>
        <w:spacing w:line="240" w:lineRule="auto"/>
        <w:jc w:val="center"/>
        <w:rPr>
          <w:rFonts w:ascii="Times New Roman" w:hAnsi="Times New Roman" w:cs="Times New Roman"/>
          <w:b/>
          <w:sz w:val="32"/>
        </w:rPr>
      </w:pPr>
    </w:p>
    <w:p w:rsidR="002B4C4B" w:rsidRPr="00A349EC" w:rsidRDefault="002B4C4B" w:rsidP="00755047">
      <w:pPr>
        <w:spacing w:line="240" w:lineRule="auto"/>
        <w:jc w:val="center"/>
        <w:rPr>
          <w:rFonts w:ascii="Times New Roman" w:hAnsi="Times New Roman" w:cs="Times New Roman"/>
          <w:b/>
          <w:sz w:val="32"/>
        </w:rPr>
      </w:pPr>
    </w:p>
    <w:p w:rsidR="002B4C4B" w:rsidRPr="00A349EC" w:rsidRDefault="002B4C4B" w:rsidP="00755047">
      <w:pPr>
        <w:spacing w:line="240" w:lineRule="auto"/>
        <w:jc w:val="center"/>
        <w:rPr>
          <w:rFonts w:ascii="Times New Roman" w:hAnsi="Times New Roman" w:cs="Times New Roman"/>
          <w:b/>
          <w:sz w:val="32"/>
        </w:rPr>
      </w:pPr>
      <w:r w:rsidRPr="00A349EC">
        <w:rPr>
          <w:rFonts w:ascii="Times New Roman" w:hAnsi="Times New Roman" w:cs="Times New Roman"/>
          <w:b/>
          <w:sz w:val="32"/>
        </w:rPr>
        <w:t>Program hospodárskeho a sociálneho rozvoja</w:t>
      </w:r>
    </w:p>
    <w:p w:rsidR="009F3E85" w:rsidRPr="00A349EC" w:rsidRDefault="009F3E85" w:rsidP="00755047">
      <w:pPr>
        <w:spacing w:line="240" w:lineRule="auto"/>
        <w:jc w:val="center"/>
        <w:rPr>
          <w:rFonts w:ascii="Times New Roman" w:hAnsi="Times New Roman" w:cs="Times New Roman"/>
          <w:b/>
          <w:sz w:val="32"/>
        </w:rPr>
      </w:pPr>
      <w:r w:rsidRPr="00A349EC">
        <w:rPr>
          <w:rFonts w:ascii="Times New Roman" w:hAnsi="Times New Roman" w:cs="Times New Roman"/>
          <w:b/>
          <w:sz w:val="32"/>
        </w:rPr>
        <w:t>obce Rastislavice</w:t>
      </w:r>
    </w:p>
    <w:p w:rsidR="009F3E85" w:rsidRPr="00A349EC" w:rsidRDefault="009F3E85" w:rsidP="00755047">
      <w:pPr>
        <w:spacing w:line="240" w:lineRule="auto"/>
        <w:jc w:val="center"/>
        <w:rPr>
          <w:rFonts w:ascii="Times New Roman" w:hAnsi="Times New Roman" w:cs="Times New Roman"/>
          <w:b/>
          <w:sz w:val="32"/>
        </w:rPr>
      </w:pPr>
    </w:p>
    <w:p w:rsidR="009F3E85" w:rsidRDefault="009F3E85" w:rsidP="00755047">
      <w:pPr>
        <w:spacing w:line="240" w:lineRule="auto"/>
        <w:jc w:val="center"/>
        <w:rPr>
          <w:rFonts w:ascii="Times New Roman" w:hAnsi="Times New Roman" w:cs="Times New Roman"/>
          <w:b/>
          <w:sz w:val="32"/>
        </w:rPr>
      </w:pPr>
      <w:r w:rsidRPr="00A349EC">
        <w:rPr>
          <w:rFonts w:ascii="Times New Roman" w:hAnsi="Times New Roman" w:cs="Times New Roman"/>
          <w:b/>
          <w:noProof/>
          <w:sz w:val="32"/>
          <w:lang w:eastAsia="sk-SK"/>
        </w:rPr>
        <w:drawing>
          <wp:inline distT="0" distB="0" distL="0" distR="0">
            <wp:extent cx="1657407" cy="1889445"/>
            <wp:effectExtent l="0" t="0" r="0" b="0"/>
            <wp:docPr id="1" name="Obrázok 0" descr="Rastislavice-erb-o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islavice-erb-obce.jpg"/>
                    <pic:cNvPicPr/>
                  </pic:nvPicPr>
                  <pic:blipFill>
                    <a:blip r:embed="rId9">
                      <a:clrChange>
                        <a:clrFrom>
                          <a:srgbClr val="FFFFFF"/>
                        </a:clrFrom>
                        <a:clrTo>
                          <a:srgbClr val="FFFFFF">
                            <a:alpha val="0"/>
                          </a:srgbClr>
                        </a:clrTo>
                      </a:clrChange>
                    </a:blip>
                    <a:stretch>
                      <a:fillRect/>
                    </a:stretch>
                  </pic:blipFill>
                  <pic:spPr>
                    <a:xfrm>
                      <a:off x="0" y="0"/>
                      <a:ext cx="1667072" cy="1900464"/>
                    </a:xfrm>
                    <a:prstGeom prst="rect">
                      <a:avLst/>
                    </a:prstGeom>
                  </pic:spPr>
                </pic:pic>
              </a:graphicData>
            </a:graphic>
          </wp:inline>
        </w:drawing>
      </w:r>
    </w:p>
    <w:p w:rsidR="000E35EF" w:rsidRDefault="000E35EF" w:rsidP="00755047">
      <w:pPr>
        <w:spacing w:line="240" w:lineRule="auto"/>
        <w:jc w:val="center"/>
        <w:rPr>
          <w:rFonts w:ascii="Times New Roman" w:hAnsi="Times New Roman" w:cs="Times New Roman"/>
          <w:b/>
          <w:sz w:val="32"/>
        </w:rPr>
      </w:pPr>
    </w:p>
    <w:p w:rsidR="000E35EF" w:rsidRDefault="000E35EF" w:rsidP="00755047">
      <w:pPr>
        <w:spacing w:line="240" w:lineRule="auto"/>
        <w:jc w:val="center"/>
        <w:rPr>
          <w:rFonts w:ascii="Times New Roman" w:hAnsi="Times New Roman" w:cs="Times New Roman"/>
          <w:b/>
          <w:sz w:val="32"/>
        </w:rPr>
      </w:pPr>
      <w:r>
        <w:rPr>
          <w:rFonts w:ascii="Times New Roman" w:hAnsi="Times New Roman" w:cs="Times New Roman"/>
          <w:b/>
          <w:sz w:val="32"/>
        </w:rPr>
        <w:t>2015 – 2023</w:t>
      </w:r>
    </w:p>
    <w:p w:rsidR="000E35EF" w:rsidRDefault="000E35EF" w:rsidP="00755047">
      <w:pPr>
        <w:spacing w:line="240" w:lineRule="auto"/>
        <w:jc w:val="center"/>
        <w:rPr>
          <w:rFonts w:ascii="Times New Roman" w:hAnsi="Times New Roman" w:cs="Times New Roman"/>
          <w:b/>
          <w:sz w:val="32"/>
        </w:rPr>
      </w:pPr>
    </w:p>
    <w:p w:rsidR="000E35EF" w:rsidRPr="000E35EF" w:rsidRDefault="00633076" w:rsidP="00755047">
      <w:pPr>
        <w:spacing w:line="240" w:lineRule="auto"/>
        <w:jc w:val="center"/>
        <w:rPr>
          <w:rFonts w:ascii="Times New Roman" w:hAnsi="Times New Roman" w:cs="Times New Roman"/>
          <w:i/>
          <w:sz w:val="32"/>
        </w:rPr>
      </w:pPr>
      <w:r>
        <w:rPr>
          <w:rFonts w:ascii="Times New Roman" w:hAnsi="Times New Roman" w:cs="Times New Roman"/>
          <w:i/>
          <w:sz w:val="32"/>
        </w:rPr>
        <w:t>Schválené Obecným zastupiteľstvom dňa 7.12.2015</w:t>
      </w:r>
    </w:p>
    <w:p w:rsidR="002B4C4B" w:rsidRPr="00A349EC" w:rsidRDefault="002B4C4B" w:rsidP="00755047">
      <w:pPr>
        <w:spacing w:line="240" w:lineRule="auto"/>
        <w:jc w:val="both"/>
        <w:rPr>
          <w:rFonts w:ascii="Times New Roman" w:hAnsi="Times New Roman" w:cs="Times New Roman"/>
          <w:b/>
          <w:sz w:val="28"/>
        </w:rPr>
      </w:pPr>
    </w:p>
    <w:p w:rsidR="002B4C4B" w:rsidRPr="00A349EC" w:rsidRDefault="002B4C4B" w:rsidP="00755047">
      <w:pPr>
        <w:spacing w:line="240" w:lineRule="auto"/>
        <w:jc w:val="both"/>
        <w:rPr>
          <w:rFonts w:ascii="Times New Roman" w:hAnsi="Times New Roman" w:cs="Times New Roman"/>
          <w:b/>
          <w:sz w:val="28"/>
        </w:rPr>
      </w:pPr>
    </w:p>
    <w:p w:rsidR="002B4C4B" w:rsidRPr="00A349EC" w:rsidRDefault="002B4C4B" w:rsidP="00755047">
      <w:pPr>
        <w:spacing w:line="240" w:lineRule="auto"/>
        <w:jc w:val="both"/>
        <w:rPr>
          <w:rFonts w:ascii="Times New Roman" w:hAnsi="Times New Roman" w:cs="Times New Roman"/>
          <w:b/>
          <w:sz w:val="28"/>
        </w:rPr>
        <w:sectPr w:rsidR="002B4C4B" w:rsidRPr="00A349EC" w:rsidSect="003443AF">
          <w:footerReference w:type="default" r:id="rId10"/>
          <w:pgSz w:w="11906" w:h="16838"/>
          <w:pgMar w:top="1417" w:right="1417" w:bottom="1417" w:left="1417" w:header="708" w:footer="708" w:gutter="0"/>
          <w:cols w:space="708"/>
          <w:docGrid w:linePitch="360"/>
        </w:sectPr>
      </w:pPr>
    </w:p>
    <w:p w:rsidR="002B4C4B" w:rsidRPr="00A349EC" w:rsidRDefault="002B4C4B" w:rsidP="00755047">
      <w:pPr>
        <w:spacing w:line="240" w:lineRule="auto"/>
        <w:jc w:val="both"/>
        <w:rPr>
          <w:rFonts w:ascii="Times New Roman" w:hAnsi="Times New Roman" w:cs="Times New Roman"/>
          <w:b/>
          <w:sz w:val="24"/>
          <w:szCs w:val="24"/>
        </w:rPr>
      </w:pPr>
      <w:r w:rsidRPr="00A349EC">
        <w:rPr>
          <w:rFonts w:ascii="Times New Roman" w:hAnsi="Times New Roman" w:cs="Times New Roman"/>
          <w:b/>
          <w:sz w:val="24"/>
          <w:szCs w:val="24"/>
        </w:rPr>
        <w:lastRenderedPageBreak/>
        <w:t>Obsah</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 xml:space="preserve">Zámer spracovania PHSR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 xml:space="preserve">Harmonogram spracovania PHSR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 xml:space="preserve">Východiskové koncepčné dokumenty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Analytická časť</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Analýza vnútorného prostredia</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História obce</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Geografické hľadisko</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Prírodné zdroje</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Klimatické pomery</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Pôdny fond a jeho využitie</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Voda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Lesy</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Nerastné suroviny</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Chránené územia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Environmentálne záťaže</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Demografické zdroje</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Počet obyvateľov</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Demografické pohyby obyvateľstva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Migrácia obyvateľstva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Zloženie obyvateľstva podľa vierovyznania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Zloženie obyvateľstva podľa národnosti</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Zloženie obyvateľstva podľa vzdelania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Štruktúra obyvateľstva podľa produktívnosti a ekonomickej aktivity</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Ekonomicky aktívne obyvateľstvo</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Zamestnanosť/nezamestnanosť</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Zruční obyvatelia obce</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 xml:space="preserve">Administratívne kapacity obce </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Sociálna infraštruktúra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Školská infraštruktúra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Zdravotnícka infraštruktúra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Sociálna infraštruktúra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Kultúrna infraštruktúra</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Priestory občianskej vybavenosti</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Kultúrny a spoločenský život</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Mimovládny sektor</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Podnikateľské prostredie</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Materiálne zdroje</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 xml:space="preserve">Stav </w:t>
      </w:r>
      <w:proofErr w:type="spellStart"/>
      <w:r w:rsidRPr="00A349EC">
        <w:rPr>
          <w:rFonts w:ascii="Times New Roman" w:hAnsi="Times New Roman" w:cs="Times New Roman"/>
          <w:sz w:val="24"/>
          <w:szCs w:val="24"/>
        </w:rPr>
        <w:t>vysporiadania</w:t>
      </w:r>
      <w:proofErr w:type="spellEnd"/>
      <w:r w:rsidRPr="00A349EC">
        <w:rPr>
          <w:rFonts w:ascii="Times New Roman" w:hAnsi="Times New Roman" w:cs="Times New Roman"/>
          <w:sz w:val="24"/>
          <w:szCs w:val="24"/>
        </w:rPr>
        <w:t xml:space="preserve"> vlastníckych vzťahov</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Stav územnoplánovacej dokumentácie a PHSR</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Infraštruktúra obce</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Domový a bytový fond</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Majetok obce</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Investičné aktivity za posledných 5 rokov</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Plánované investičné aktivity</w:t>
      </w:r>
    </w:p>
    <w:p w:rsidR="002B4C4B" w:rsidRPr="00A349EC" w:rsidRDefault="002B4C4B" w:rsidP="00E12B27">
      <w:pPr>
        <w:pStyle w:val="Bezriadkovania"/>
        <w:numPr>
          <w:ilvl w:val="3"/>
          <w:numId w:val="1"/>
        </w:numPr>
        <w:rPr>
          <w:rFonts w:ascii="Times New Roman" w:hAnsi="Times New Roman" w:cs="Times New Roman"/>
          <w:sz w:val="24"/>
          <w:szCs w:val="24"/>
        </w:rPr>
      </w:pPr>
      <w:r w:rsidRPr="00A349EC">
        <w:rPr>
          <w:rFonts w:ascii="Times New Roman" w:hAnsi="Times New Roman" w:cs="Times New Roman"/>
          <w:sz w:val="24"/>
          <w:szCs w:val="24"/>
        </w:rPr>
        <w:t>Zoznam voľných hospodárskych budov na území obce</w:t>
      </w:r>
    </w:p>
    <w:p w:rsidR="002B4C4B" w:rsidRPr="00A349EC" w:rsidRDefault="002B4C4B" w:rsidP="00E12B27">
      <w:pPr>
        <w:pStyle w:val="Bezriadkovania"/>
        <w:numPr>
          <w:ilvl w:val="2"/>
          <w:numId w:val="1"/>
        </w:numPr>
        <w:ind w:left="1418" w:hanging="709"/>
        <w:rPr>
          <w:rFonts w:ascii="Times New Roman" w:hAnsi="Times New Roman" w:cs="Times New Roman"/>
          <w:sz w:val="24"/>
          <w:szCs w:val="24"/>
        </w:rPr>
      </w:pPr>
      <w:r w:rsidRPr="00A349EC">
        <w:rPr>
          <w:rFonts w:ascii="Times New Roman" w:hAnsi="Times New Roman" w:cs="Times New Roman"/>
          <w:sz w:val="24"/>
          <w:szCs w:val="24"/>
        </w:rPr>
        <w:t>Cestovný ruch</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 xml:space="preserve">Analýza vonkajšieho prostredia </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SWOT</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 xml:space="preserve">Zhodnotenie hlavných disparít a faktorov rozvoja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lastRenderedPageBreak/>
        <w:t>Strategická časť</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Vízia rozvoja územia obce Šurianky</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 xml:space="preserve">Strategický cieľ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Programová časť</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Opatrenia a projekty vrátane ich priradenia k jednotlivým prioritám</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 xml:space="preserve">Súbor ukazovateľov výsledkov a dosahov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Realizačná časť</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Východiská a popis úloh jednotlivých partnerov pri realizácii</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Popis postupov organizačného a inštitucionálneho zabezpečenia realizácie PHSR</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Stručný popis komunikačnej stratégie</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Systém monitorovania a hodnotenia</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 xml:space="preserve">Akčný plán na obdobie dvoch rokov </w:t>
      </w:r>
    </w:p>
    <w:p w:rsidR="002B4C4B" w:rsidRPr="00A349EC" w:rsidRDefault="002B4C4B" w:rsidP="00E12B27">
      <w:pPr>
        <w:pStyle w:val="Bezriadkovania"/>
        <w:numPr>
          <w:ilvl w:val="0"/>
          <w:numId w:val="1"/>
        </w:numPr>
        <w:rPr>
          <w:rFonts w:ascii="Times New Roman" w:hAnsi="Times New Roman" w:cs="Times New Roman"/>
          <w:sz w:val="24"/>
          <w:szCs w:val="24"/>
        </w:rPr>
      </w:pPr>
      <w:r w:rsidRPr="00A349EC">
        <w:rPr>
          <w:rFonts w:ascii="Times New Roman" w:hAnsi="Times New Roman" w:cs="Times New Roman"/>
          <w:sz w:val="24"/>
          <w:szCs w:val="24"/>
        </w:rPr>
        <w:t>Finančná časť</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Indikatívny finančný plán na celú realizáciu PHSR</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Model viaczdrojového financovania jednotlivých projektov</w:t>
      </w:r>
    </w:p>
    <w:p w:rsidR="002B4C4B" w:rsidRPr="00A349EC" w:rsidRDefault="002B4C4B" w:rsidP="00E12B27">
      <w:pPr>
        <w:pStyle w:val="Bezriadkovania"/>
        <w:numPr>
          <w:ilvl w:val="1"/>
          <w:numId w:val="1"/>
        </w:numPr>
        <w:rPr>
          <w:rFonts w:ascii="Times New Roman" w:hAnsi="Times New Roman" w:cs="Times New Roman"/>
          <w:sz w:val="24"/>
          <w:szCs w:val="24"/>
        </w:rPr>
      </w:pPr>
      <w:r w:rsidRPr="00A349EC">
        <w:rPr>
          <w:rFonts w:ascii="Times New Roman" w:hAnsi="Times New Roman" w:cs="Times New Roman"/>
          <w:sz w:val="24"/>
          <w:szCs w:val="24"/>
        </w:rPr>
        <w:t xml:space="preserve">Systém hodnotenia a zaraďovania projektov do financovania </w:t>
      </w:r>
    </w:p>
    <w:p w:rsidR="002B4C4B" w:rsidRPr="00A349EC" w:rsidRDefault="002B4C4B" w:rsidP="00755047">
      <w:pPr>
        <w:pStyle w:val="Bezriadkovania"/>
        <w:rPr>
          <w:rFonts w:ascii="Times New Roman" w:hAnsi="Times New Roman" w:cs="Times New Roman"/>
          <w:sz w:val="24"/>
          <w:szCs w:val="24"/>
        </w:rPr>
      </w:pPr>
      <w:r w:rsidRPr="00A349EC">
        <w:rPr>
          <w:rFonts w:ascii="Times New Roman" w:hAnsi="Times New Roman" w:cs="Times New Roman"/>
          <w:sz w:val="24"/>
          <w:szCs w:val="24"/>
        </w:rPr>
        <w:t xml:space="preserve">Záverečná časť </w:t>
      </w:r>
    </w:p>
    <w:p w:rsidR="002B4C4B" w:rsidRPr="00A349EC" w:rsidRDefault="002B4C4B" w:rsidP="00755047">
      <w:pPr>
        <w:pStyle w:val="Bezriadkovania"/>
        <w:rPr>
          <w:rFonts w:ascii="Times New Roman" w:hAnsi="Times New Roman" w:cs="Times New Roman"/>
          <w:sz w:val="24"/>
          <w:szCs w:val="24"/>
        </w:rPr>
      </w:pPr>
      <w:r w:rsidRPr="00A349EC">
        <w:rPr>
          <w:rFonts w:ascii="Times New Roman" w:hAnsi="Times New Roman" w:cs="Times New Roman"/>
          <w:sz w:val="24"/>
          <w:szCs w:val="24"/>
        </w:rPr>
        <w:t>Prílohy</w:t>
      </w:r>
    </w:p>
    <w:p w:rsidR="002B4C4B" w:rsidRPr="00A349EC" w:rsidRDefault="002B4C4B" w:rsidP="00755047">
      <w:pPr>
        <w:spacing w:line="240" w:lineRule="auto"/>
        <w:jc w:val="both"/>
        <w:rPr>
          <w:rFonts w:ascii="Times New Roman" w:hAnsi="Times New Roman" w:cs="Times New Roman"/>
          <w:sz w:val="24"/>
          <w:szCs w:val="24"/>
        </w:rPr>
        <w:sectPr w:rsidR="002B4C4B" w:rsidRPr="00A349EC" w:rsidSect="003443AF">
          <w:pgSz w:w="11906" w:h="16838"/>
          <w:pgMar w:top="1417" w:right="1417" w:bottom="1417" w:left="1417" w:header="708" w:footer="708" w:gutter="0"/>
          <w:cols w:space="708"/>
          <w:docGrid w:linePitch="360"/>
        </w:sectPr>
      </w:pPr>
    </w:p>
    <w:p w:rsidR="002B4C4B" w:rsidRPr="00A349EC" w:rsidRDefault="002B4C4B" w:rsidP="00755047">
      <w:pPr>
        <w:spacing w:line="240" w:lineRule="auto"/>
        <w:jc w:val="both"/>
        <w:rPr>
          <w:rFonts w:ascii="Times New Roman" w:hAnsi="Times New Roman" w:cs="Times New Roman"/>
          <w:b/>
          <w:sz w:val="28"/>
          <w:szCs w:val="24"/>
        </w:rPr>
      </w:pPr>
      <w:r w:rsidRPr="00A349EC">
        <w:rPr>
          <w:rFonts w:ascii="Times New Roman" w:hAnsi="Times New Roman" w:cs="Times New Roman"/>
          <w:b/>
          <w:sz w:val="28"/>
          <w:szCs w:val="24"/>
        </w:rPr>
        <w:lastRenderedPageBreak/>
        <w:t>Úvod</w:t>
      </w:r>
    </w:p>
    <w:p w:rsidR="009F3E85" w:rsidRPr="00A349EC" w:rsidRDefault="009F3E85" w:rsidP="00755047">
      <w:pPr>
        <w:spacing w:line="240" w:lineRule="auto"/>
        <w:jc w:val="both"/>
        <w:rPr>
          <w:rFonts w:ascii="Times New Roman" w:hAnsi="Times New Roman" w:cs="Times New Roman"/>
          <w:sz w:val="24"/>
          <w:szCs w:val="28"/>
        </w:rPr>
      </w:pPr>
      <w:r w:rsidRPr="00A349EC">
        <w:rPr>
          <w:rFonts w:ascii="Times New Roman" w:hAnsi="Times New Roman" w:cs="Times New Roman"/>
          <w:sz w:val="24"/>
          <w:szCs w:val="28"/>
        </w:rPr>
        <w:t>Posledná dekáda 20. Storočia až po súčasnosť je poznačená kumuláciou procesov, ktoré výrazne predznamenali dynamiku a charakter premien spoločensko-politických, hospodárskych, sociálnych, sociálno-kultúrnych s celou škálou pozitívnych ale aj problémových dopadov na spoločnosť i jednotlivé spoločenstvá na Slovensku. Významné sú nadnárodné súvislosti prebiehajúcich procesov, keďže sa netýkajú len jednej krajiny, ale sú súčasťou priestorovo širších premien, ktoré majú významné, prinajmenšom európske súvislosti. Premieta sa to, resp. Odráža v európskych integračných procesoch, v hľadaní podôb štátnych i spoločných európskych postupov, pri riešení problémov, pri usmerňovaní vývojových procesov, pri hľadaní spoločných či koordinovaných politík.</w:t>
      </w:r>
    </w:p>
    <w:p w:rsidR="009F3E85" w:rsidRPr="00A349EC" w:rsidRDefault="009F3E85" w:rsidP="00755047">
      <w:pPr>
        <w:spacing w:line="240" w:lineRule="auto"/>
        <w:jc w:val="both"/>
        <w:rPr>
          <w:rFonts w:ascii="Times New Roman" w:hAnsi="Times New Roman" w:cs="Times New Roman"/>
          <w:sz w:val="24"/>
          <w:szCs w:val="28"/>
        </w:rPr>
      </w:pPr>
      <w:r w:rsidRPr="00A349EC">
        <w:rPr>
          <w:rFonts w:ascii="Times New Roman" w:hAnsi="Times New Roman" w:cs="Times New Roman"/>
          <w:sz w:val="24"/>
          <w:szCs w:val="28"/>
        </w:rPr>
        <w:t>Program hospodárskeho a sociálneho rozvoja je základným dokumentom, ktorým si mesto pri výkone svojej činnosti zabezpečuje rozvoj svojho územia a stará sa o potreby obyvateľov.</w:t>
      </w:r>
    </w:p>
    <w:p w:rsidR="000E35EF" w:rsidRDefault="000E35EF" w:rsidP="000E35EF">
      <w:pPr>
        <w:ind w:firstLine="720"/>
        <w:jc w:val="both"/>
        <w:rPr>
          <w:rFonts w:ascii="Times New Roman" w:hAnsi="Times New Roman" w:cs="Times New Roman"/>
        </w:rPr>
      </w:pPr>
      <w:r>
        <w:rPr>
          <w:rFonts w:ascii="Times New Roman" w:hAnsi="Times New Roman" w:cs="Times New Roman"/>
        </w:rPr>
        <w:t>Je to strednodobý programový dokument, ktorý bol spracovaný na základe zákona č. 539/2008 Z. z. o podpore regionálneho rozvoja v znení zákona č. 309/2014 Z. z. Pri spracovávaní boli rešpektované zásady regionálnej politiky vlády Slovenskej republiky a princípy regionálnej politiky Európskej únie zakotvené najmä v nariadeniach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a v zmysle delegovaného  nariadenia Komisie (EÚ) č. 480/2014 z 3. marca 2014.</w:t>
      </w:r>
    </w:p>
    <w:p w:rsidR="000E35EF" w:rsidRDefault="000E35EF" w:rsidP="000E35EF">
      <w:pPr>
        <w:ind w:firstLine="720"/>
        <w:jc w:val="both"/>
        <w:rPr>
          <w:rFonts w:ascii="Times New Roman" w:hAnsi="Times New Roman" w:cs="Times New Roman"/>
        </w:rPr>
      </w:pPr>
      <w:r>
        <w:rPr>
          <w:rFonts w:ascii="Times New Roman" w:hAnsi="Times New Roman" w:cs="Times New Roman"/>
        </w:rPr>
        <w:t xml:space="preserve">Program je komplexným dokumentom, integrujúcim otázky rozvoja fyzických štruktúr so sociálnymi, ekonomickými a ďalšími </w:t>
      </w:r>
      <w:proofErr w:type="spellStart"/>
      <w:r>
        <w:rPr>
          <w:rFonts w:ascii="Times New Roman" w:hAnsi="Times New Roman" w:cs="Times New Roman"/>
        </w:rPr>
        <w:t>aspektami</w:t>
      </w:r>
      <w:proofErr w:type="spellEnd"/>
      <w:r>
        <w:rPr>
          <w:rFonts w:ascii="Times New Roman" w:hAnsi="Times New Roman" w:cs="Times New Roman"/>
        </w:rPr>
        <w:t>. Preto má voči ostatným plánovacím dokumentom spracovaným na miestnej úrovni zastrešujúcu funkciu. Na rozdiel od územného plánu, ktorý rieši najmä otázky fyzického rozvoja územia (lokalizáciu zástavby a priestorové regulatívy pre stavebný rozvoj, funkčné využitie rozvojových plôch), program rozvoja sa podrobnejšie zaoberá otázkami ekonomického a sociálneho rozvoja, čím vo vzťahu k územnému plánu plní komplementárnu funkciu.</w:t>
      </w:r>
    </w:p>
    <w:p w:rsidR="000E35EF" w:rsidRDefault="000E35EF" w:rsidP="000E35EF">
      <w:pPr>
        <w:ind w:firstLine="720"/>
        <w:jc w:val="both"/>
        <w:rPr>
          <w:rFonts w:ascii="Times New Roman" w:hAnsi="Times New Roman" w:cs="Times New Roman"/>
        </w:rPr>
      </w:pPr>
      <w:r>
        <w:rPr>
          <w:rFonts w:ascii="Times New Roman" w:hAnsi="Times New Roman" w:cs="Times New Roman"/>
        </w:rPr>
        <w:t>Aj napriek komplexnosti programu rozvoja nie je cieľom vyčerpávajúco obsiahnuť všetky problémy a nájsť vhodné riešenia.</w:t>
      </w:r>
    </w:p>
    <w:p w:rsidR="000E35EF" w:rsidRDefault="000E35EF" w:rsidP="000E35EF">
      <w:pPr>
        <w:jc w:val="both"/>
        <w:rPr>
          <w:rFonts w:ascii="Times New Roman" w:hAnsi="Times New Roman" w:cs="Times New Roman"/>
        </w:rPr>
      </w:pPr>
    </w:p>
    <w:p w:rsidR="000E35EF" w:rsidRDefault="000E35EF" w:rsidP="000E35EF">
      <w:pPr>
        <w:ind w:firstLine="720"/>
        <w:jc w:val="both"/>
        <w:rPr>
          <w:rFonts w:ascii="Times New Roman" w:hAnsi="Times New Roman" w:cs="Times New Roman"/>
        </w:rPr>
      </w:pPr>
      <w:r>
        <w:rPr>
          <w:rFonts w:ascii="Times New Roman" w:hAnsi="Times New Roman" w:cs="Times New Roman"/>
        </w:rPr>
        <w:t xml:space="preserve">Program hospodárskeho a sociálneho rozvoja mesta Šurany je v súlade s cieľmi a prioritami ustanovenými v Národnom rozvojovom pláne a s metodikou na vypracovanie príslušného PHSR pre obce a mestá.   </w:t>
      </w:r>
    </w:p>
    <w:p w:rsidR="000E35EF" w:rsidRDefault="000E35EF" w:rsidP="000E35EF">
      <w:pPr>
        <w:jc w:val="both"/>
        <w:rPr>
          <w:rFonts w:ascii="Times New Roman" w:hAnsi="Times New Roman" w:cs="Times New Roman"/>
          <w:b/>
          <w:sz w:val="40"/>
          <w:szCs w:val="40"/>
        </w:rPr>
      </w:pPr>
    </w:p>
    <w:p w:rsidR="000E35EF" w:rsidRDefault="000E35EF" w:rsidP="000E35EF">
      <w:pPr>
        <w:jc w:val="both"/>
        <w:rPr>
          <w:rFonts w:ascii="Times New Roman" w:hAnsi="Times New Roman" w:cs="Times New Roman"/>
          <w:b/>
          <w:sz w:val="40"/>
          <w:szCs w:val="40"/>
        </w:rPr>
      </w:pPr>
    </w:p>
    <w:p w:rsidR="000E35EF" w:rsidRDefault="000E35EF" w:rsidP="000E35EF">
      <w:pPr>
        <w:jc w:val="both"/>
        <w:rPr>
          <w:rFonts w:ascii="Times New Roman" w:hAnsi="Times New Roman" w:cs="Times New Roman"/>
          <w:b/>
          <w:sz w:val="40"/>
          <w:szCs w:val="40"/>
        </w:rPr>
      </w:pPr>
    </w:p>
    <w:p w:rsidR="000E35EF" w:rsidRDefault="000E35EF" w:rsidP="000E35EF">
      <w:pPr>
        <w:jc w:val="both"/>
        <w:rPr>
          <w:rFonts w:ascii="Times New Roman" w:hAnsi="Times New Roman" w:cs="Times New Roman"/>
          <w:b/>
          <w:sz w:val="40"/>
          <w:szCs w:val="40"/>
        </w:rPr>
      </w:pPr>
    </w:p>
    <w:p w:rsidR="000E35EF" w:rsidRDefault="000E35EF" w:rsidP="000E35EF">
      <w:pPr>
        <w:pStyle w:val="Odsekzoznamu"/>
        <w:numPr>
          <w:ilvl w:val="0"/>
          <w:numId w:val="13"/>
        </w:numPr>
        <w:spacing w:after="0"/>
        <w:jc w:val="both"/>
        <w:rPr>
          <w:rFonts w:ascii="Times New Roman" w:hAnsi="Times New Roman" w:cs="Times New Roman"/>
          <w:b/>
          <w:sz w:val="32"/>
          <w:szCs w:val="32"/>
        </w:rPr>
      </w:pPr>
      <w:r>
        <w:rPr>
          <w:rFonts w:ascii="Times New Roman" w:hAnsi="Times New Roman" w:cs="Times New Roman"/>
          <w:b/>
          <w:sz w:val="32"/>
          <w:szCs w:val="32"/>
        </w:rPr>
        <w:t>Zámer spracovania PHSR</w:t>
      </w:r>
    </w:p>
    <w:p w:rsidR="000E35EF" w:rsidRDefault="000E35EF" w:rsidP="000E35EF">
      <w:pPr>
        <w:jc w:val="both"/>
        <w:rPr>
          <w:rFonts w:ascii="Times New Roman" w:hAnsi="Times New Roman" w:cs="Times New Roman"/>
          <w:b/>
          <w:sz w:val="24"/>
          <w:szCs w:val="24"/>
        </w:rPr>
      </w:pPr>
    </w:p>
    <w:p w:rsidR="000E35EF" w:rsidRDefault="000E35EF" w:rsidP="000E35EF">
      <w:pPr>
        <w:ind w:firstLine="720"/>
        <w:jc w:val="both"/>
        <w:rPr>
          <w:rFonts w:ascii="Times New Roman" w:hAnsi="Times New Roman" w:cs="Times New Roman"/>
        </w:rPr>
      </w:pPr>
      <w:r>
        <w:rPr>
          <w:rFonts w:ascii="Times New Roman" w:hAnsi="Times New Roman" w:cs="Times New Roman"/>
        </w:rPr>
        <w:t xml:space="preserve">Hlavným zámerom spracovania programu hospodárskeho a sociálneho rozvoja je vízia progresívneho mesta, ktorého hlavným cieľom je v čo najväčšej miere uspokojovať potreby občanov, umožňovať rozvoj podnikateľských aktivít a cestovného ruchu na území mesta a v čo najväčšej miere využívať výhodnú geografickú polohu za podmienok trvalo udržateľného rozvoja. </w:t>
      </w:r>
    </w:p>
    <w:p w:rsidR="009F3E85" w:rsidRPr="00A349EC" w:rsidRDefault="009F3E85" w:rsidP="00755047">
      <w:pPr>
        <w:spacing w:line="240" w:lineRule="auto"/>
        <w:jc w:val="both"/>
        <w:rPr>
          <w:rFonts w:ascii="Times New Roman" w:hAnsi="Times New Roman" w:cs="Times New Roman"/>
          <w:sz w:val="24"/>
          <w:szCs w:val="28"/>
        </w:rPr>
      </w:pPr>
    </w:p>
    <w:p w:rsidR="009F3E85" w:rsidRPr="000E35EF" w:rsidRDefault="002B4C4B" w:rsidP="000E35EF">
      <w:pPr>
        <w:pStyle w:val="Odsekzoznamu"/>
        <w:numPr>
          <w:ilvl w:val="0"/>
          <w:numId w:val="13"/>
        </w:numPr>
        <w:spacing w:line="240" w:lineRule="auto"/>
        <w:jc w:val="both"/>
        <w:rPr>
          <w:rFonts w:ascii="Times New Roman" w:hAnsi="Times New Roman" w:cs="Times New Roman"/>
          <w:b/>
          <w:sz w:val="28"/>
        </w:rPr>
      </w:pPr>
      <w:r w:rsidRPr="000E35EF">
        <w:rPr>
          <w:rFonts w:ascii="Times New Roman" w:hAnsi="Times New Roman" w:cs="Times New Roman"/>
          <w:b/>
          <w:sz w:val="28"/>
        </w:rPr>
        <w:t>Harmonogram spracovania PHSR</w:t>
      </w:r>
    </w:p>
    <w:p w:rsidR="00A349EC" w:rsidRPr="00A349EC" w:rsidRDefault="00A349EC" w:rsidP="00755047">
      <w:pPr>
        <w:spacing w:line="240" w:lineRule="auto"/>
        <w:jc w:val="both"/>
        <w:rPr>
          <w:rFonts w:ascii="Times New Roman" w:hAnsi="Times New Roman" w:cs="Times New Roman"/>
          <w:b/>
          <w:sz w:val="28"/>
        </w:rPr>
      </w:pPr>
    </w:p>
    <w:p w:rsidR="002B4C4B" w:rsidRDefault="002B4C4B" w:rsidP="000E35EF">
      <w:pPr>
        <w:pStyle w:val="Odsekzoznamu"/>
        <w:numPr>
          <w:ilvl w:val="0"/>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Východiskové koncepčné dokumenty</w:t>
      </w:r>
    </w:p>
    <w:p w:rsidR="000E35EF" w:rsidRDefault="000E35EF" w:rsidP="000E35EF">
      <w:pPr>
        <w:pStyle w:val="Odsekzoznamu"/>
        <w:spacing w:line="240" w:lineRule="auto"/>
        <w:ind w:left="1211"/>
        <w:jc w:val="both"/>
        <w:rPr>
          <w:rFonts w:ascii="Times New Roman" w:hAnsi="Times New Roman" w:cs="Times New Roman"/>
          <w:b/>
          <w:sz w:val="28"/>
        </w:rPr>
      </w:pPr>
    </w:p>
    <w:p w:rsidR="000E35EF" w:rsidRDefault="002B4C4B" w:rsidP="000E35EF">
      <w:pPr>
        <w:pStyle w:val="Odsekzoznamu"/>
        <w:numPr>
          <w:ilvl w:val="0"/>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Analytická časť</w:t>
      </w:r>
    </w:p>
    <w:p w:rsidR="000E35EF" w:rsidRPr="000E35EF" w:rsidRDefault="000E35EF" w:rsidP="000E35EF">
      <w:pPr>
        <w:spacing w:line="240" w:lineRule="auto"/>
        <w:jc w:val="both"/>
        <w:rPr>
          <w:rFonts w:ascii="Times New Roman" w:hAnsi="Times New Roman" w:cs="Times New Roman"/>
          <w:b/>
          <w:sz w:val="28"/>
        </w:rPr>
      </w:pPr>
    </w:p>
    <w:p w:rsidR="002B4C4B" w:rsidRDefault="002B4C4B" w:rsidP="000E35EF">
      <w:pPr>
        <w:pStyle w:val="Odsekzoznamu"/>
        <w:numPr>
          <w:ilvl w:val="1"/>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Analýza vnútorného prostredia</w:t>
      </w:r>
    </w:p>
    <w:p w:rsidR="000E35EF" w:rsidRPr="00A349EC" w:rsidRDefault="000E35EF" w:rsidP="000E35EF">
      <w:pPr>
        <w:pStyle w:val="Odsekzoznamu"/>
        <w:spacing w:line="240" w:lineRule="auto"/>
        <w:ind w:left="1352"/>
        <w:jc w:val="both"/>
        <w:rPr>
          <w:rFonts w:ascii="Times New Roman" w:hAnsi="Times New Roman" w:cs="Times New Roman"/>
          <w:b/>
          <w:sz w:val="28"/>
        </w:rPr>
      </w:pPr>
    </w:p>
    <w:p w:rsidR="002B4C4B" w:rsidRPr="00A349EC" w:rsidRDefault="002B4C4B" w:rsidP="000E35EF">
      <w:pPr>
        <w:pStyle w:val="Odsekzoznamu"/>
        <w:numPr>
          <w:ilvl w:val="2"/>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História</w:t>
      </w:r>
    </w:p>
    <w:p w:rsidR="009F3E85"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V roku 1928 sa na území dnešných Rastislavíc usadili Slováci z Rumunska, Juhoslávie a západného Slovenska. Dnešná obec vznikla r. 1936 z majera Nový a Starý </w:t>
      </w:r>
      <w:proofErr w:type="spellStart"/>
      <w:r w:rsidRPr="00A349EC">
        <w:rPr>
          <w:rFonts w:ascii="Times New Roman" w:hAnsi="Times New Roman" w:cs="Times New Roman"/>
          <w:sz w:val="24"/>
          <w:szCs w:val="24"/>
        </w:rPr>
        <w:t>Degeš</w:t>
      </w:r>
      <w:proofErr w:type="spellEnd"/>
      <w:r w:rsidRPr="00A349EC">
        <w:rPr>
          <w:rFonts w:ascii="Times New Roman" w:hAnsi="Times New Roman" w:cs="Times New Roman"/>
          <w:sz w:val="24"/>
          <w:szCs w:val="24"/>
        </w:rPr>
        <w:t xml:space="preserve">, ktoré do r. 1936 patrili do Komjatíc. Obec bola známa ovocinárstvom, včelárstvom, živočíšnou výrobou a pestovaním </w:t>
      </w:r>
      <w:proofErr w:type="spellStart"/>
      <w:r w:rsidRPr="00A349EC">
        <w:rPr>
          <w:rFonts w:ascii="Times New Roman" w:hAnsi="Times New Roman" w:cs="Times New Roman"/>
          <w:sz w:val="24"/>
          <w:szCs w:val="24"/>
        </w:rPr>
        <w:t>tech</w:t>
      </w:r>
      <w:proofErr w:type="spellEnd"/>
      <w:r w:rsidRPr="00A349EC">
        <w:rPr>
          <w:rFonts w:ascii="Times New Roman" w:hAnsi="Times New Roman" w:cs="Times New Roman"/>
          <w:sz w:val="24"/>
          <w:szCs w:val="24"/>
        </w:rPr>
        <w:t xml:space="preserve">. plodín. Do r. 1950 tu bol liehovar, v r. 1940-50 trepáreň </w:t>
      </w:r>
      <w:proofErr w:type="spellStart"/>
      <w:r w:rsidRPr="00A349EC">
        <w:rPr>
          <w:rFonts w:ascii="Times New Roman" w:hAnsi="Times New Roman" w:cs="Times New Roman"/>
          <w:sz w:val="24"/>
          <w:szCs w:val="24"/>
        </w:rPr>
        <w:t>konopí</w:t>
      </w:r>
      <w:proofErr w:type="spellEnd"/>
      <w:r w:rsidRPr="00A349EC">
        <w:rPr>
          <w:rFonts w:ascii="Times New Roman" w:hAnsi="Times New Roman" w:cs="Times New Roman"/>
          <w:sz w:val="24"/>
          <w:szCs w:val="24"/>
        </w:rPr>
        <w:t xml:space="preserve"> a do r. 1961 </w:t>
      </w:r>
      <w:proofErr w:type="spellStart"/>
      <w:r w:rsidRPr="00A349EC">
        <w:rPr>
          <w:rFonts w:ascii="Times New Roman" w:hAnsi="Times New Roman" w:cs="Times New Roman"/>
          <w:sz w:val="24"/>
          <w:szCs w:val="24"/>
        </w:rPr>
        <w:t>teheľňa</w:t>
      </w:r>
      <w:proofErr w:type="spellEnd"/>
      <w:r w:rsidRPr="00A349EC">
        <w:rPr>
          <w:rFonts w:ascii="Times New Roman" w:hAnsi="Times New Roman" w:cs="Times New Roman"/>
          <w:sz w:val="24"/>
          <w:szCs w:val="24"/>
        </w:rPr>
        <w:t>. Štátne majetky boli založené r. 1950, JRD r. 1955 a v r. 1963 prešlo JRD pod ŠM. Časť obyvateľov pracuje v poľnohospodárstve, časť v priemyselných podnikoch na okolí.</w:t>
      </w:r>
    </w:p>
    <w:p w:rsidR="00E80E90" w:rsidRPr="00A349EC" w:rsidRDefault="00E80E90" w:rsidP="00755047">
      <w:pPr>
        <w:spacing w:line="240" w:lineRule="auto"/>
        <w:jc w:val="both"/>
        <w:rPr>
          <w:rFonts w:ascii="Times New Roman" w:hAnsi="Times New Roman" w:cs="Times New Roman"/>
          <w:b/>
          <w:sz w:val="28"/>
        </w:rPr>
      </w:pPr>
    </w:p>
    <w:p w:rsidR="002B4C4B" w:rsidRPr="00A349EC" w:rsidRDefault="002B4C4B" w:rsidP="000E35EF">
      <w:pPr>
        <w:pStyle w:val="Odsekzoznamu"/>
        <w:numPr>
          <w:ilvl w:val="2"/>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Geografické hľadisko</w:t>
      </w:r>
    </w:p>
    <w:p w:rsidR="00E80E90"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Rastislavice ležia na 48° 08' 25" s. z. š. a 18° 04' 14" v. z. d. Chotár obce sa rozprestiera v nadmorskej výške 120 – 131 m n. m., stred obce má výšku 123 m n. m. Katastrálne územie obce má výmeru 1 959 ha (19,59 km², 19 589 263 m²).</w:t>
      </w:r>
    </w:p>
    <w:p w:rsidR="00E80E90"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Rastislavice susedia na východe s obcou Komjatice, na juhovýchode s mestom Šurany, na juhu s obcou Tvrdošovce, na západe s Jatovom, na severe s Poľným Kesovom a na severovýchode s Veľkým Kýrom (predtým Milanovce).</w:t>
      </w:r>
    </w:p>
    <w:p w:rsidR="00E80E90"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Reliéf kraja má prevažne rovinný a nížinný charakter prerušovaný pahorkatinami. Takmer celý kraj sa nachádza na Podunajskej pahorkatine a Podunajskej rovine, čo sú celky Podunajskej nížiny. Na severe sa krajom tiahne pohorie Tríbeč, severovýchod je lemovaný výbežkami Štiavnických vrchov a sčasti Pohronským Inovcom.</w:t>
      </w:r>
    </w:p>
    <w:p w:rsidR="00E80E90"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i/>
          <w:sz w:val="24"/>
          <w:szCs w:val="24"/>
        </w:rPr>
        <w:lastRenderedPageBreak/>
        <w:t>Časti obce</w:t>
      </w:r>
      <w:r w:rsidR="00A349EC">
        <w:rPr>
          <w:rFonts w:ascii="Times New Roman" w:hAnsi="Times New Roman" w:cs="Times New Roman"/>
          <w:i/>
          <w:sz w:val="24"/>
          <w:szCs w:val="24"/>
        </w:rPr>
        <w:t xml:space="preserve">: </w:t>
      </w:r>
      <w:r w:rsidRPr="00A349EC">
        <w:rPr>
          <w:rFonts w:ascii="Times New Roman" w:hAnsi="Times New Roman" w:cs="Times New Roman"/>
          <w:sz w:val="24"/>
          <w:szCs w:val="24"/>
        </w:rPr>
        <w:t xml:space="preserve">Kalvín, Nová </w:t>
      </w:r>
      <w:proofErr w:type="spellStart"/>
      <w:r w:rsidRPr="00A349EC">
        <w:rPr>
          <w:rFonts w:ascii="Times New Roman" w:hAnsi="Times New Roman" w:cs="Times New Roman"/>
          <w:sz w:val="24"/>
          <w:szCs w:val="24"/>
        </w:rPr>
        <w:t>Švajčiareň</w:t>
      </w:r>
      <w:proofErr w:type="spellEnd"/>
      <w:r w:rsidRPr="00A349EC">
        <w:rPr>
          <w:rFonts w:ascii="Times New Roman" w:hAnsi="Times New Roman" w:cs="Times New Roman"/>
          <w:sz w:val="24"/>
          <w:szCs w:val="24"/>
        </w:rPr>
        <w:t xml:space="preserve">, Nový </w:t>
      </w:r>
      <w:proofErr w:type="spellStart"/>
      <w:r w:rsidRPr="00A349EC">
        <w:rPr>
          <w:rFonts w:ascii="Times New Roman" w:hAnsi="Times New Roman" w:cs="Times New Roman"/>
          <w:sz w:val="24"/>
          <w:szCs w:val="24"/>
        </w:rPr>
        <w:t>Degeš</w:t>
      </w:r>
      <w:proofErr w:type="spellEnd"/>
      <w:r w:rsidRPr="00A349EC">
        <w:rPr>
          <w:rFonts w:ascii="Times New Roman" w:hAnsi="Times New Roman" w:cs="Times New Roman"/>
          <w:sz w:val="24"/>
          <w:szCs w:val="24"/>
        </w:rPr>
        <w:t xml:space="preserve">, Stará </w:t>
      </w:r>
      <w:proofErr w:type="spellStart"/>
      <w:r w:rsidRPr="00A349EC">
        <w:rPr>
          <w:rFonts w:ascii="Times New Roman" w:hAnsi="Times New Roman" w:cs="Times New Roman"/>
          <w:sz w:val="24"/>
          <w:szCs w:val="24"/>
        </w:rPr>
        <w:t>Švajčiareň</w:t>
      </w:r>
      <w:proofErr w:type="spellEnd"/>
      <w:r w:rsidRPr="00A349EC">
        <w:rPr>
          <w:rFonts w:ascii="Times New Roman" w:hAnsi="Times New Roman" w:cs="Times New Roman"/>
          <w:sz w:val="24"/>
          <w:szCs w:val="24"/>
        </w:rPr>
        <w:t xml:space="preserve">, Starý </w:t>
      </w:r>
      <w:proofErr w:type="spellStart"/>
      <w:r w:rsidRPr="00A349EC">
        <w:rPr>
          <w:rFonts w:ascii="Times New Roman" w:hAnsi="Times New Roman" w:cs="Times New Roman"/>
          <w:sz w:val="24"/>
          <w:szCs w:val="24"/>
        </w:rPr>
        <w:t>Degeš</w:t>
      </w:r>
      <w:proofErr w:type="spellEnd"/>
      <w:r w:rsidR="00A349EC">
        <w:rPr>
          <w:rFonts w:ascii="Times New Roman" w:hAnsi="Times New Roman" w:cs="Times New Roman"/>
          <w:sz w:val="24"/>
          <w:szCs w:val="24"/>
        </w:rPr>
        <w:t>.</w:t>
      </w:r>
    </w:p>
    <w:p w:rsidR="00E80E90" w:rsidRPr="00A349EC" w:rsidRDefault="00E80E90" w:rsidP="00755047">
      <w:pPr>
        <w:spacing w:line="240" w:lineRule="auto"/>
        <w:jc w:val="both"/>
        <w:rPr>
          <w:rFonts w:ascii="Times New Roman" w:hAnsi="Times New Roman" w:cs="Times New Roman"/>
          <w:b/>
          <w:sz w:val="24"/>
          <w:szCs w:val="24"/>
        </w:rPr>
      </w:pPr>
    </w:p>
    <w:p w:rsidR="002B4C4B" w:rsidRPr="00A349EC" w:rsidRDefault="002B4C4B" w:rsidP="000E35EF">
      <w:pPr>
        <w:pStyle w:val="Odsekzoznamu"/>
        <w:numPr>
          <w:ilvl w:val="2"/>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Prírodné zdroje</w:t>
      </w: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Klimatické pomery</w:t>
      </w:r>
    </w:p>
    <w:p w:rsidR="00E80E90"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Kraj patrí k najteplejším oblastiam a najproduktívnejším poľnohospodárskym centrám SR. Priemerná ročná teplota (údaje získané meraním v meteorologickej stanici v Hurbanove v roku 2004) je 10,2 ºC. </w:t>
      </w:r>
    </w:p>
    <w:p w:rsidR="002B4C4B" w:rsidRPr="00A349EC" w:rsidRDefault="002B4C4B" w:rsidP="00755047">
      <w:pPr>
        <w:spacing w:line="240" w:lineRule="auto"/>
        <w:rPr>
          <w:rFonts w:ascii="Times New Roman" w:hAnsi="Times New Roman" w:cs="Times New Roman"/>
          <w:sz w:val="24"/>
          <w:szCs w:val="24"/>
          <w:lang w:eastAsia="sk-SK"/>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Geomorfologická a geologická charakteristika</w:t>
      </w:r>
    </w:p>
    <w:p w:rsidR="00A349EC" w:rsidRPr="00A349EC" w:rsidRDefault="00A349EC" w:rsidP="00755047">
      <w:pPr>
        <w:spacing w:line="240" w:lineRule="auto"/>
        <w:jc w:val="both"/>
        <w:rPr>
          <w:rFonts w:ascii="Times New Roman" w:hAnsi="Times New Roman" w:cs="Times New Roman"/>
          <w:sz w:val="24"/>
          <w:szCs w:val="24"/>
          <w:lang w:eastAsia="sk-SK"/>
        </w:rPr>
      </w:pPr>
      <w:r w:rsidRPr="00A349EC">
        <w:rPr>
          <w:rFonts w:ascii="Times New Roman" w:hAnsi="Times New Roman" w:cs="Times New Roman"/>
          <w:sz w:val="24"/>
          <w:szCs w:val="24"/>
          <w:lang w:eastAsia="sk-SK"/>
        </w:rPr>
        <w:t xml:space="preserve">Podľa geomorfologického členenia Slovenska riešené územie patrí do oblasti Podunajskej nížiny, celku Podunajskej pahorkatiny, </w:t>
      </w:r>
      <w:proofErr w:type="spellStart"/>
      <w:r w:rsidRPr="00A349EC">
        <w:rPr>
          <w:rFonts w:ascii="Times New Roman" w:hAnsi="Times New Roman" w:cs="Times New Roman"/>
          <w:sz w:val="24"/>
          <w:szCs w:val="24"/>
          <w:lang w:eastAsia="sk-SK"/>
        </w:rPr>
        <w:t>podcelku</w:t>
      </w:r>
      <w:proofErr w:type="spellEnd"/>
      <w:r w:rsidRPr="00A349EC">
        <w:rPr>
          <w:rFonts w:ascii="Times New Roman" w:hAnsi="Times New Roman" w:cs="Times New Roman"/>
          <w:sz w:val="24"/>
          <w:szCs w:val="24"/>
          <w:lang w:eastAsia="sk-SK"/>
        </w:rPr>
        <w:t xml:space="preserve"> Nitrianska pahorkatina oddielu Nitrianska niva. Podľa </w:t>
      </w:r>
      <w:proofErr w:type="spellStart"/>
      <w:r w:rsidRPr="00A349EC">
        <w:rPr>
          <w:rFonts w:ascii="Times New Roman" w:hAnsi="Times New Roman" w:cs="Times New Roman"/>
          <w:sz w:val="24"/>
          <w:szCs w:val="24"/>
          <w:lang w:eastAsia="sk-SK"/>
        </w:rPr>
        <w:t>fytogeografického</w:t>
      </w:r>
      <w:proofErr w:type="spellEnd"/>
      <w:r w:rsidRPr="00A349EC">
        <w:rPr>
          <w:rFonts w:ascii="Times New Roman" w:hAnsi="Times New Roman" w:cs="Times New Roman"/>
          <w:sz w:val="24"/>
          <w:szCs w:val="24"/>
          <w:lang w:eastAsia="sk-SK"/>
        </w:rPr>
        <w:t xml:space="preserve"> členenia Slovenska celé riešené územie patrí do oblasti panónskej flóry (</w:t>
      </w:r>
      <w:proofErr w:type="spellStart"/>
      <w:r w:rsidRPr="00A349EC">
        <w:rPr>
          <w:rFonts w:ascii="Times New Roman" w:hAnsi="Times New Roman" w:cs="Times New Roman"/>
          <w:sz w:val="24"/>
          <w:szCs w:val="24"/>
          <w:lang w:eastAsia="sk-SK"/>
        </w:rPr>
        <w:t>Pannonicum</w:t>
      </w:r>
      <w:proofErr w:type="spellEnd"/>
      <w:r w:rsidRPr="00A349EC">
        <w:rPr>
          <w:rFonts w:ascii="Times New Roman" w:hAnsi="Times New Roman" w:cs="Times New Roman"/>
          <w:sz w:val="24"/>
          <w:szCs w:val="24"/>
          <w:lang w:eastAsia="sk-SK"/>
        </w:rPr>
        <w:t xml:space="preserve">) obvodu </w:t>
      </w:r>
      <w:proofErr w:type="spellStart"/>
      <w:r w:rsidRPr="00A349EC">
        <w:rPr>
          <w:rFonts w:ascii="Times New Roman" w:hAnsi="Times New Roman" w:cs="Times New Roman"/>
          <w:sz w:val="24"/>
          <w:szCs w:val="24"/>
          <w:lang w:eastAsia="sk-SK"/>
        </w:rPr>
        <w:t>eupanónskej</w:t>
      </w:r>
      <w:proofErr w:type="spellEnd"/>
      <w:r w:rsidRPr="00A349EC">
        <w:rPr>
          <w:rFonts w:ascii="Times New Roman" w:hAnsi="Times New Roman" w:cs="Times New Roman"/>
          <w:sz w:val="24"/>
          <w:szCs w:val="24"/>
          <w:lang w:eastAsia="sk-SK"/>
        </w:rPr>
        <w:t xml:space="preserve"> </w:t>
      </w:r>
      <w:proofErr w:type="spellStart"/>
      <w:r w:rsidRPr="00A349EC">
        <w:rPr>
          <w:rFonts w:ascii="Times New Roman" w:hAnsi="Times New Roman" w:cs="Times New Roman"/>
          <w:sz w:val="24"/>
          <w:szCs w:val="24"/>
          <w:lang w:eastAsia="sk-SK"/>
        </w:rPr>
        <w:t>xerotermnej</w:t>
      </w:r>
      <w:proofErr w:type="spellEnd"/>
      <w:r w:rsidRPr="00A349EC">
        <w:rPr>
          <w:rFonts w:ascii="Times New Roman" w:hAnsi="Times New Roman" w:cs="Times New Roman"/>
          <w:sz w:val="24"/>
          <w:szCs w:val="24"/>
          <w:lang w:eastAsia="sk-SK"/>
        </w:rPr>
        <w:t xml:space="preserve"> flóry (</w:t>
      </w:r>
      <w:proofErr w:type="spellStart"/>
      <w:r w:rsidRPr="00A349EC">
        <w:rPr>
          <w:rFonts w:ascii="Times New Roman" w:hAnsi="Times New Roman" w:cs="Times New Roman"/>
          <w:sz w:val="24"/>
          <w:szCs w:val="24"/>
          <w:lang w:eastAsia="sk-SK"/>
        </w:rPr>
        <w:t>Eupannonicum</w:t>
      </w:r>
      <w:proofErr w:type="spellEnd"/>
      <w:r w:rsidRPr="00A349EC">
        <w:rPr>
          <w:rFonts w:ascii="Times New Roman" w:hAnsi="Times New Roman" w:cs="Times New Roman"/>
          <w:sz w:val="24"/>
          <w:szCs w:val="24"/>
          <w:lang w:eastAsia="sk-SK"/>
        </w:rPr>
        <w:t xml:space="preserve">) časti Podunajská nížina. Podľa typologického členenia reliéfu patrí riešené územie do fluviálnej roviny s fluviálnym reliéfom s </w:t>
      </w:r>
      <w:proofErr w:type="spellStart"/>
      <w:r w:rsidRPr="00A349EC">
        <w:rPr>
          <w:rFonts w:ascii="Times New Roman" w:hAnsi="Times New Roman" w:cs="Times New Roman"/>
          <w:sz w:val="24"/>
          <w:szCs w:val="24"/>
          <w:lang w:eastAsia="sk-SK"/>
        </w:rPr>
        <w:t>hydromorfnými</w:t>
      </w:r>
      <w:proofErr w:type="spellEnd"/>
      <w:r w:rsidRPr="00A349EC">
        <w:rPr>
          <w:rFonts w:ascii="Times New Roman" w:hAnsi="Times New Roman" w:cs="Times New Roman"/>
          <w:sz w:val="24"/>
          <w:szCs w:val="24"/>
          <w:lang w:eastAsia="sk-SK"/>
        </w:rPr>
        <w:t xml:space="preserve"> pôdami a vlhkomilnou vegetáciou. Reprezentatívne potenciálne </w:t>
      </w:r>
      <w:proofErr w:type="spellStart"/>
      <w:r w:rsidRPr="00A349EC">
        <w:rPr>
          <w:rFonts w:ascii="Times New Roman" w:hAnsi="Times New Roman" w:cs="Times New Roman"/>
          <w:sz w:val="24"/>
          <w:szCs w:val="24"/>
          <w:lang w:eastAsia="sk-SK"/>
        </w:rPr>
        <w:t>geoekosystémy</w:t>
      </w:r>
      <w:proofErr w:type="spellEnd"/>
      <w:r w:rsidRPr="00A349EC">
        <w:rPr>
          <w:rFonts w:ascii="Times New Roman" w:hAnsi="Times New Roman" w:cs="Times New Roman"/>
          <w:sz w:val="24"/>
          <w:szCs w:val="24"/>
          <w:lang w:eastAsia="sk-SK"/>
        </w:rPr>
        <w:t xml:space="preserve"> územia Nitrianskej nivy – mladé </w:t>
      </w:r>
      <w:proofErr w:type="spellStart"/>
      <w:r w:rsidRPr="00A349EC">
        <w:rPr>
          <w:rFonts w:ascii="Times New Roman" w:hAnsi="Times New Roman" w:cs="Times New Roman"/>
          <w:sz w:val="24"/>
          <w:szCs w:val="24"/>
          <w:lang w:eastAsia="sk-SK"/>
        </w:rPr>
        <w:t>agradačné</w:t>
      </w:r>
      <w:proofErr w:type="spellEnd"/>
      <w:r w:rsidRPr="00A349EC">
        <w:rPr>
          <w:rFonts w:ascii="Times New Roman" w:hAnsi="Times New Roman" w:cs="Times New Roman"/>
          <w:sz w:val="24"/>
          <w:szCs w:val="24"/>
          <w:lang w:eastAsia="sk-SK"/>
        </w:rPr>
        <w:t xml:space="preserve"> valy s </w:t>
      </w:r>
      <w:proofErr w:type="spellStart"/>
      <w:r w:rsidRPr="00A349EC">
        <w:rPr>
          <w:rFonts w:ascii="Times New Roman" w:hAnsi="Times New Roman" w:cs="Times New Roman"/>
          <w:sz w:val="24"/>
          <w:szCs w:val="24"/>
          <w:lang w:eastAsia="sk-SK"/>
        </w:rPr>
        <w:t>nivnými</w:t>
      </w:r>
      <w:proofErr w:type="spellEnd"/>
      <w:r w:rsidRPr="00A349EC">
        <w:rPr>
          <w:rFonts w:ascii="Times New Roman" w:hAnsi="Times New Roman" w:cs="Times New Roman"/>
          <w:sz w:val="24"/>
          <w:szCs w:val="24"/>
          <w:lang w:eastAsia="sk-SK"/>
        </w:rPr>
        <w:t xml:space="preserve"> a lužnými pôdami a mäkkým lužným lesom. </w:t>
      </w:r>
    </w:p>
    <w:p w:rsidR="00A349EC" w:rsidRPr="00A349EC" w:rsidRDefault="00A349EC" w:rsidP="00755047">
      <w:pPr>
        <w:spacing w:line="240" w:lineRule="auto"/>
        <w:jc w:val="both"/>
        <w:rPr>
          <w:rFonts w:ascii="Times New Roman" w:hAnsi="Times New Roman" w:cs="Times New Roman"/>
          <w:sz w:val="24"/>
          <w:szCs w:val="24"/>
          <w:lang w:eastAsia="sk-SK"/>
        </w:rPr>
      </w:pPr>
      <w:r w:rsidRPr="00A349EC">
        <w:rPr>
          <w:rFonts w:ascii="Times New Roman" w:hAnsi="Times New Roman" w:cs="Times New Roman"/>
          <w:sz w:val="24"/>
          <w:szCs w:val="24"/>
          <w:lang w:eastAsia="sk-SK"/>
        </w:rPr>
        <w:t xml:space="preserve">V reliéfe územia sa odráža vplyv štvrtohorných fluviálnych a </w:t>
      </w:r>
      <w:proofErr w:type="spellStart"/>
      <w:r w:rsidRPr="00A349EC">
        <w:rPr>
          <w:rFonts w:ascii="Times New Roman" w:hAnsi="Times New Roman" w:cs="Times New Roman"/>
          <w:sz w:val="24"/>
          <w:szCs w:val="24"/>
          <w:lang w:eastAsia="sk-SK"/>
        </w:rPr>
        <w:t>eolických</w:t>
      </w:r>
      <w:proofErr w:type="spellEnd"/>
      <w:r w:rsidRPr="00A349EC">
        <w:rPr>
          <w:rFonts w:ascii="Times New Roman" w:hAnsi="Times New Roman" w:cs="Times New Roman"/>
          <w:sz w:val="24"/>
          <w:szCs w:val="24"/>
          <w:lang w:eastAsia="sk-SK"/>
        </w:rPr>
        <w:t xml:space="preserve"> procesov. Kvartér tvoria </w:t>
      </w:r>
      <w:proofErr w:type="spellStart"/>
      <w:r w:rsidRPr="00A349EC">
        <w:rPr>
          <w:rFonts w:ascii="Times New Roman" w:hAnsi="Times New Roman" w:cs="Times New Roman"/>
          <w:sz w:val="24"/>
          <w:szCs w:val="24"/>
          <w:lang w:eastAsia="sk-SK"/>
        </w:rPr>
        <w:t>fluviálno</w:t>
      </w:r>
      <w:proofErr w:type="spellEnd"/>
      <w:r w:rsidRPr="00A349EC">
        <w:rPr>
          <w:rFonts w:ascii="Times New Roman" w:hAnsi="Times New Roman" w:cs="Times New Roman"/>
          <w:sz w:val="24"/>
          <w:szCs w:val="24"/>
          <w:lang w:eastAsia="sk-SK"/>
        </w:rPr>
        <w:t xml:space="preserve"> – </w:t>
      </w:r>
      <w:proofErr w:type="spellStart"/>
      <w:r w:rsidRPr="00A349EC">
        <w:rPr>
          <w:rFonts w:ascii="Times New Roman" w:hAnsi="Times New Roman" w:cs="Times New Roman"/>
          <w:sz w:val="24"/>
          <w:szCs w:val="24"/>
          <w:lang w:eastAsia="sk-SK"/>
        </w:rPr>
        <w:t>nivné</w:t>
      </w:r>
      <w:proofErr w:type="spellEnd"/>
      <w:r w:rsidRPr="00A349EC">
        <w:rPr>
          <w:rFonts w:ascii="Times New Roman" w:hAnsi="Times New Roman" w:cs="Times New Roman"/>
          <w:sz w:val="24"/>
          <w:szCs w:val="24"/>
          <w:lang w:eastAsia="sk-SK"/>
        </w:rPr>
        <w:t xml:space="preserve"> </w:t>
      </w:r>
      <w:proofErr w:type="spellStart"/>
      <w:r w:rsidRPr="00A349EC">
        <w:rPr>
          <w:rFonts w:ascii="Times New Roman" w:hAnsi="Times New Roman" w:cs="Times New Roman"/>
          <w:sz w:val="24"/>
          <w:szCs w:val="24"/>
          <w:lang w:eastAsia="sk-SK"/>
        </w:rPr>
        <w:t>sedimety</w:t>
      </w:r>
      <w:proofErr w:type="spellEnd"/>
      <w:r w:rsidRPr="00A349EC">
        <w:rPr>
          <w:rFonts w:ascii="Times New Roman" w:hAnsi="Times New Roman" w:cs="Times New Roman"/>
          <w:sz w:val="24"/>
          <w:szCs w:val="24"/>
          <w:lang w:eastAsia="sk-SK"/>
        </w:rPr>
        <w:t xml:space="preserve"> v dolinách pohorí; holocén.</w:t>
      </w:r>
    </w:p>
    <w:p w:rsidR="002B4C4B" w:rsidRPr="00A349EC" w:rsidRDefault="002B4C4B" w:rsidP="00755047">
      <w:pPr>
        <w:spacing w:line="240" w:lineRule="auto"/>
        <w:jc w:val="both"/>
        <w:rPr>
          <w:rFonts w:ascii="Times New Roman" w:hAnsi="Times New Roman" w:cs="Times New Roman"/>
          <w:b/>
          <w:i/>
          <w:sz w:val="24"/>
          <w:szCs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Pôdny fond a jeho využitie</w:t>
      </w:r>
    </w:p>
    <w:p w:rsidR="002B4C4B" w:rsidRDefault="00A349EC" w:rsidP="00755047">
      <w:pPr>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Obec Rastislavice má jedno katastrálne územie. Z</w:t>
      </w:r>
      <w:r w:rsidRPr="00A349EC">
        <w:rPr>
          <w:rFonts w:ascii="Times New Roman" w:hAnsi="Times New Roman" w:cs="Times New Roman"/>
          <w:sz w:val="24"/>
          <w:szCs w:val="24"/>
          <w:lang w:eastAsia="sk-SK"/>
        </w:rPr>
        <w:t> hľadiska využívania pôdy v m</w:t>
      </w:r>
      <w:r w:rsidRPr="00A349EC">
        <w:rPr>
          <w:rFonts w:ascii="Times New Roman" w:hAnsi="Times New Roman" w:cs="Times New Roman"/>
          <w:sz w:val="24"/>
          <w:szCs w:val="24"/>
          <w:vertAlign w:val="superscript"/>
          <w:lang w:eastAsia="sk-SK"/>
        </w:rPr>
        <w:t>2</w:t>
      </w:r>
      <w:r>
        <w:rPr>
          <w:rFonts w:ascii="Times New Roman" w:hAnsi="Times New Roman" w:cs="Times New Roman"/>
          <w:sz w:val="24"/>
          <w:szCs w:val="24"/>
          <w:lang w:eastAsia="sk-SK"/>
        </w:rPr>
        <w:t xml:space="preserve"> je členený</w:t>
      </w:r>
      <w:r w:rsidRPr="00A349EC">
        <w:rPr>
          <w:rFonts w:ascii="Times New Roman" w:hAnsi="Times New Roman" w:cs="Times New Roman"/>
          <w:sz w:val="24"/>
          <w:szCs w:val="24"/>
          <w:lang w:eastAsia="sk-SK"/>
        </w:rPr>
        <w:t xml:space="preserve"> nasledovne:</w:t>
      </w:r>
    </w:p>
    <w:p w:rsidR="00A349EC" w:rsidRPr="00A349EC" w:rsidRDefault="00A349EC" w:rsidP="00755047">
      <w:pPr>
        <w:spacing w:line="240" w:lineRule="auto"/>
        <w:jc w:val="both"/>
        <w:rPr>
          <w:rFonts w:ascii="Times New Roman" w:hAnsi="Times New Roman" w:cs="Times New Roman"/>
          <w:sz w:val="24"/>
          <w:szCs w:val="24"/>
          <w:lang w:eastAsia="sk-SK"/>
        </w:rPr>
      </w:pPr>
      <w:r w:rsidRPr="00A349EC">
        <w:rPr>
          <w:rFonts w:ascii="Times New Roman" w:hAnsi="Times New Roman" w:cs="Times New Roman"/>
          <w:sz w:val="24"/>
          <w:szCs w:val="24"/>
          <w:lang w:eastAsia="sk-SK"/>
        </w:rPr>
        <w:t xml:space="preserve">Tabuľka </w:t>
      </w:r>
      <w:r w:rsidR="00755047">
        <w:rPr>
          <w:rFonts w:ascii="Times New Roman" w:hAnsi="Times New Roman" w:cs="Times New Roman"/>
          <w:sz w:val="24"/>
          <w:szCs w:val="24"/>
          <w:lang w:eastAsia="sk-SK"/>
        </w:rPr>
        <w:t xml:space="preserve">1 </w:t>
      </w:r>
      <w:r w:rsidRPr="00A349EC">
        <w:rPr>
          <w:rFonts w:ascii="Times New Roman" w:hAnsi="Times New Roman" w:cs="Times New Roman"/>
          <w:sz w:val="24"/>
          <w:szCs w:val="24"/>
          <w:lang w:eastAsia="sk-SK"/>
        </w:rPr>
        <w:t>– Využitie pôdneho fondu katastra obce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720"/>
        <w:gridCol w:w="900"/>
        <w:gridCol w:w="720"/>
        <w:gridCol w:w="720"/>
        <w:gridCol w:w="720"/>
        <w:gridCol w:w="720"/>
        <w:gridCol w:w="720"/>
        <w:gridCol w:w="720"/>
        <w:gridCol w:w="858"/>
      </w:tblGrid>
      <w:tr w:rsidR="00A349EC" w:rsidRPr="00A349EC" w:rsidTr="00D1002B">
        <w:trPr>
          <w:cantSplit/>
          <w:trHeight w:hRule="exact" w:val="907"/>
        </w:trPr>
        <w:tc>
          <w:tcPr>
            <w:tcW w:w="1346" w:type="dxa"/>
            <w:vMerge w:val="restart"/>
            <w:vAlign w:val="center"/>
          </w:tcPr>
          <w:p w:rsidR="00A349EC" w:rsidRPr="00A349EC" w:rsidRDefault="00A349EC" w:rsidP="00755047">
            <w:pPr>
              <w:spacing w:line="240" w:lineRule="auto"/>
              <w:rPr>
                <w:rFonts w:ascii="Times New Roman" w:eastAsia="Calibri" w:hAnsi="Times New Roman" w:cs="Times New Roman"/>
                <w:b/>
                <w:bCs/>
                <w:sz w:val="24"/>
                <w:szCs w:val="24"/>
              </w:rPr>
            </w:pPr>
            <w:r w:rsidRPr="00A349EC">
              <w:rPr>
                <w:rFonts w:ascii="Times New Roman" w:eastAsia="Calibri" w:hAnsi="Times New Roman" w:cs="Times New Roman"/>
                <w:b/>
                <w:bCs/>
                <w:sz w:val="24"/>
                <w:szCs w:val="24"/>
              </w:rPr>
              <w:t>Kataster</w:t>
            </w:r>
          </w:p>
        </w:tc>
        <w:tc>
          <w:tcPr>
            <w:tcW w:w="851" w:type="dxa"/>
            <w:vMerge w:val="restart"/>
            <w:vAlign w:val="center"/>
          </w:tcPr>
          <w:p w:rsidR="00A349EC" w:rsidRPr="00A349EC" w:rsidRDefault="00A349EC" w:rsidP="00755047">
            <w:pPr>
              <w:spacing w:line="240" w:lineRule="auto"/>
              <w:jc w:val="center"/>
              <w:rPr>
                <w:rFonts w:ascii="Times New Roman" w:eastAsia="Calibri" w:hAnsi="Times New Roman" w:cs="Times New Roman"/>
                <w:b/>
                <w:bCs/>
                <w:sz w:val="24"/>
                <w:szCs w:val="24"/>
              </w:rPr>
            </w:pPr>
            <w:r w:rsidRPr="00A349EC">
              <w:rPr>
                <w:rFonts w:ascii="Times New Roman" w:eastAsia="Calibri" w:hAnsi="Times New Roman" w:cs="Times New Roman"/>
                <w:b/>
                <w:bCs/>
                <w:sz w:val="24"/>
                <w:szCs w:val="24"/>
              </w:rPr>
              <w:t>Spolu</w:t>
            </w:r>
          </w:p>
        </w:tc>
        <w:tc>
          <w:tcPr>
            <w:tcW w:w="3060" w:type="dxa"/>
            <w:gridSpan w:val="4"/>
            <w:tcBorders>
              <w:bottom w:val="nil"/>
            </w:tcBorders>
            <w:vAlign w:val="center"/>
          </w:tcPr>
          <w:p w:rsidR="00A349EC" w:rsidRPr="00A349EC" w:rsidRDefault="00A349EC" w:rsidP="00755047">
            <w:pPr>
              <w:spacing w:line="240" w:lineRule="auto"/>
              <w:ind w:left="73"/>
              <w:jc w:val="center"/>
              <w:rPr>
                <w:rFonts w:ascii="Times New Roman" w:eastAsia="Calibri" w:hAnsi="Times New Roman" w:cs="Times New Roman"/>
                <w:b/>
                <w:bCs/>
                <w:sz w:val="24"/>
                <w:szCs w:val="24"/>
              </w:rPr>
            </w:pPr>
            <w:r w:rsidRPr="00A349EC">
              <w:rPr>
                <w:rFonts w:ascii="Times New Roman" w:eastAsia="Calibri" w:hAnsi="Times New Roman" w:cs="Times New Roman"/>
                <w:b/>
                <w:bCs/>
                <w:sz w:val="24"/>
                <w:szCs w:val="24"/>
              </w:rPr>
              <w:t>Poľnohospodárska pôda (ha)</w:t>
            </w:r>
          </w:p>
        </w:tc>
        <w:tc>
          <w:tcPr>
            <w:tcW w:w="3738" w:type="dxa"/>
            <w:gridSpan w:val="5"/>
            <w:tcBorders>
              <w:bottom w:val="nil"/>
            </w:tcBorders>
            <w:vAlign w:val="center"/>
          </w:tcPr>
          <w:p w:rsidR="00A349EC" w:rsidRPr="00A349EC" w:rsidRDefault="00A349EC" w:rsidP="00755047">
            <w:pPr>
              <w:spacing w:line="240" w:lineRule="auto"/>
              <w:jc w:val="center"/>
              <w:rPr>
                <w:rFonts w:ascii="Times New Roman" w:eastAsia="Calibri" w:hAnsi="Times New Roman" w:cs="Times New Roman"/>
                <w:b/>
                <w:bCs/>
                <w:sz w:val="24"/>
                <w:szCs w:val="24"/>
              </w:rPr>
            </w:pPr>
            <w:r w:rsidRPr="00A349EC">
              <w:rPr>
                <w:rFonts w:ascii="Times New Roman" w:eastAsia="Calibri" w:hAnsi="Times New Roman" w:cs="Times New Roman"/>
                <w:b/>
                <w:bCs/>
                <w:sz w:val="24"/>
                <w:szCs w:val="24"/>
              </w:rPr>
              <w:t>Nepoľnohospodárska pôda (ha)</w:t>
            </w:r>
          </w:p>
        </w:tc>
      </w:tr>
      <w:tr w:rsidR="00A349EC" w:rsidRPr="00A349EC" w:rsidTr="00D1002B">
        <w:trPr>
          <w:cantSplit/>
          <w:trHeight w:hRule="exact" w:val="907"/>
        </w:trPr>
        <w:tc>
          <w:tcPr>
            <w:tcW w:w="1346" w:type="dxa"/>
            <w:vMerge/>
            <w:vAlign w:val="center"/>
          </w:tcPr>
          <w:p w:rsidR="00A349EC" w:rsidRPr="00A349EC" w:rsidRDefault="00A349EC" w:rsidP="00755047">
            <w:pPr>
              <w:spacing w:line="240" w:lineRule="auto"/>
              <w:rPr>
                <w:rFonts w:ascii="Times New Roman" w:eastAsia="Calibri" w:hAnsi="Times New Roman" w:cs="Times New Roman"/>
                <w:b/>
                <w:bCs/>
                <w:sz w:val="24"/>
                <w:szCs w:val="24"/>
              </w:rPr>
            </w:pPr>
          </w:p>
        </w:tc>
        <w:tc>
          <w:tcPr>
            <w:tcW w:w="851" w:type="dxa"/>
            <w:vMerge/>
            <w:vAlign w:val="center"/>
          </w:tcPr>
          <w:p w:rsidR="00A349EC" w:rsidRPr="00A349EC" w:rsidRDefault="00A349EC" w:rsidP="00755047">
            <w:pPr>
              <w:spacing w:line="240" w:lineRule="auto"/>
              <w:jc w:val="center"/>
              <w:rPr>
                <w:rFonts w:ascii="Times New Roman" w:eastAsia="Calibri" w:hAnsi="Times New Roman" w:cs="Times New Roman"/>
                <w:b/>
                <w:bCs/>
                <w:sz w:val="24"/>
                <w:szCs w:val="24"/>
              </w:rPr>
            </w:pPr>
          </w:p>
        </w:tc>
        <w:tc>
          <w:tcPr>
            <w:tcW w:w="720" w:type="dxa"/>
            <w:vAlign w:val="center"/>
          </w:tcPr>
          <w:p w:rsidR="00A349EC" w:rsidRPr="00D1002B" w:rsidRDefault="00A349EC" w:rsidP="00755047">
            <w:pPr>
              <w:spacing w:line="240" w:lineRule="auto"/>
              <w:ind w:left="25"/>
              <w:jc w:val="center"/>
              <w:rPr>
                <w:rFonts w:ascii="Times New Roman" w:eastAsia="Calibri" w:hAnsi="Times New Roman" w:cs="Times New Roman"/>
                <w:b/>
                <w:bCs/>
                <w:szCs w:val="24"/>
              </w:rPr>
            </w:pPr>
            <w:proofErr w:type="spellStart"/>
            <w:r w:rsidRPr="00D1002B">
              <w:rPr>
                <w:rFonts w:ascii="Times New Roman" w:eastAsia="Calibri" w:hAnsi="Times New Roman" w:cs="Times New Roman"/>
                <w:b/>
                <w:bCs/>
                <w:szCs w:val="24"/>
              </w:rPr>
              <w:t>Ornápôda</w:t>
            </w:r>
            <w:proofErr w:type="spellEnd"/>
          </w:p>
        </w:tc>
        <w:tc>
          <w:tcPr>
            <w:tcW w:w="900" w:type="dxa"/>
            <w:vAlign w:val="center"/>
          </w:tcPr>
          <w:p w:rsidR="00A349EC" w:rsidRPr="00D1002B" w:rsidRDefault="00A349EC" w:rsidP="00755047">
            <w:pPr>
              <w:spacing w:line="240" w:lineRule="auto"/>
              <w:ind w:left="-70" w:right="-70"/>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Trvalé kultúry</w:t>
            </w:r>
          </w:p>
        </w:tc>
        <w:tc>
          <w:tcPr>
            <w:tcW w:w="720" w:type="dxa"/>
            <w:vAlign w:val="center"/>
          </w:tcPr>
          <w:p w:rsidR="00A349EC" w:rsidRPr="00D1002B" w:rsidRDefault="00A349EC" w:rsidP="00755047">
            <w:pPr>
              <w:spacing w:line="240" w:lineRule="auto"/>
              <w:ind w:right="-70"/>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TTP</w:t>
            </w:r>
          </w:p>
        </w:tc>
        <w:tc>
          <w:tcPr>
            <w:tcW w:w="720" w:type="dxa"/>
            <w:vAlign w:val="center"/>
          </w:tcPr>
          <w:p w:rsidR="00A349EC" w:rsidRPr="00D1002B" w:rsidRDefault="00A349EC" w:rsidP="00755047">
            <w:pPr>
              <w:spacing w:line="240" w:lineRule="auto"/>
              <w:ind w:left="-70" w:right="-70"/>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Spolu</w:t>
            </w:r>
          </w:p>
        </w:tc>
        <w:tc>
          <w:tcPr>
            <w:tcW w:w="720" w:type="dxa"/>
            <w:tcBorders>
              <w:top w:val="single" w:sz="4" w:space="0" w:color="auto"/>
            </w:tcBorders>
            <w:vAlign w:val="center"/>
          </w:tcPr>
          <w:p w:rsidR="00A349EC" w:rsidRPr="00D1002B" w:rsidRDefault="00A349EC" w:rsidP="00755047">
            <w:pPr>
              <w:spacing w:line="240" w:lineRule="auto"/>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Lesná</w:t>
            </w:r>
            <w:r w:rsidR="00D1002B" w:rsidRPr="00D1002B">
              <w:rPr>
                <w:rFonts w:ascii="Times New Roman" w:eastAsia="Calibri" w:hAnsi="Times New Roman" w:cs="Times New Roman"/>
                <w:b/>
                <w:bCs/>
                <w:szCs w:val="24"/>
              </w:rPr>
              <w:t xml:space="preserve"> p</w:t>
            </w:r>
            <w:r w:rsidRPr="00D1002B">
              <w:rPr>
                <w:rFonts w:ascii="Times New Roman" w:eastAsia="Calibri" w:hAnsi="Times New Roman" w:cs="Times New Roman"/>
                <w:b/>
                <w:bCs/>
                <w:szCs w:val="24"/>
              </w:rPr>
              <w:t>ôda</w:t>
            </w:r>
          </w:p>
        </w:tc>
        <w:tc>
          <w:tcPr>
            <w:tcW w:w="720" w:type="dxa"/>
            <w:tcBorders>
              <w:top w:val="single" w:sz="4" w:space="0" w:color="auto"/>
            </w:tcBorders>
            <w:vAlign w:val="center"/>
          </w:tcPr>
          <w:p w:rsidR="00A349EC" w:rsidRPr="00D1002B" w:rsidRDefault="00A349EC" w:rsidP="00755047">
            <w:pPr>
              <w:spacing w:line="240" w:lineRule="auto"/>
              <w:ind w:left="-70" w:right="-70"/>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Vodná pôda</w:t>
            </w:r>
          </w:p>
        </w:tc>
        <w:tc>
          <w:tcPr>
            <w:tcW w:w="720" w:type="dxa"/>
            <w:tcBorders>
              <w:top w:val="single" w:sz="4" w:space="0" w:color="auto"/>
            </w:tcBorders>
            <w:vAlign w:val="center"/>
          </w:tcPr>
          <w:p w:rsidR="00A349EC" w:rsidRPr="00D1002B" w:rsidRDefault="00A349EC" w:rsidP="00755047">
            <w:pPr>
              <w:spacing w:line="240" w:lineRule="auto"/>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Zastavaná pôda</w:t>
            </w:r>
          </w:p>
        </w:tc>
        <w:tc>
          <w:tcPr>
            <w:tcW w:w="720" w:type="dxa"/>
            <w:vAlign w:val="center"/>
          </w:tcPr>
          <w:p w:rsidR="00A349EC" w:rsidRPr="00D1002B" w:rsidRDefault="00A349EC" w:rsidP="00755047">
            <w:pPr>
              <w:spacing w:line="240" w:lineRule="auto"/>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Ostatná</w:t>
            </w:r>
            <w:r w:rsidR="00D1002B">
              <w:rPr>
                <w:rFonts w:ascii="Times New Roman" w:eastAsia="Calibri" w:hAnsi="Times New Roman" w:cs="Times New Roman"/>
                <w:b/>
                <w:bCs/>
                <w:szCs w:val="24"/>
              </w:rPr>
              <w:t xml:space="preserve"> </w:t>
            </w:r>
            <w:r w:rsidRPr="00D1002B">
              <w:rPr>
                <w:rFonts w:ascii="Times New Roman" w:eastAsia="Calibri" w:hAnsi="Times New Roman" w:cs="Times New Roman"/>
                <w:b/>
                <w:bCs/>
                <w:szCs w:val="24"/>
              </w:rPr>
              <w:t>pôda</w:t>
            </w:r>
          </w:p>
        </w:tc>
        <w:tc>
          <w:tcPr>
            <w:tcW w:w="858" w:type="dxa"/>
            <w:vAlign w:val="center"/>
          </w:tcPr>
          <w:p w:rsidR="00A349EC" w:rsidRPr="00D1002B" w:rsidRDefault="00A349EC" w:rsidP="00755047">
            <w:pPr>
              <w:spacing w:line="240" w:lineRule="auto"/>
              <w:ind w:left="-70" w:right="-70"/>
              <w:jc w:val="center"/>
              <w:rPr>
                <w:rFonts w:ascii="Times New Roman" w:eastAsia="Calibri" w:hAnsi="Times New Roman" w:cs="Times New Roman"/>
                <w:b/>
                <w:bCs/>
                <w:szCs w:val="24"/>
              </w:rPr>
            </w:pPr>
            <w:r w:rsidRPr="00D1002B">
              <w:rPr>
                <w:rFonts w:ascii="Times New Roman" w:eastAsia="Calibri" w:hAnsi="Times New Roman" w:cs="Times New Roman"/>
                <w:b/>
                <w:bCs/>
                <w:szCs w:val="24"/>
              </w:rPr>
              <w:t>Spolu</w:t>
            </w:r>
          </w:p>
        </w:tc>
      </w:tr>
      <w:tr w:rsidR="00A349EC" w:rsidRPr="00A349EC" w:rsidTr="00D1002B">
        <w:trPr>
          <w:trHeight w:hRule="exact" w:val="340"/>
        </w:trPr>
        <w:tc>
          <w:tcPr>
            <w:tcW w:w="1346" w:type="dxa"/>
            <w:vAlign w:val="center"/>
          </w:tcPr>
          <w:p w:rsidR="00A349EC" w:rsidRPr="00A349EC" w:rsidRDefault="00A349EC" w:rsidP="00755047">
            <w:pPr>
              <w:spacing w:line="240" w:lineRule="auto"/>
              <w:rPr>
                <w:rFonts w:ascii="Times New Roman" w:eastAsia="Calibri" w:hAnsi="Times New Roman" w:cs="Times New Roman"/>
                <w:sz w:val="24"/>
                <w:szCs w:val="24"/>
              </w:rPr>
            </w:pPr>
            <w:r w:rsidRPr="00A349EC">
              <w:rPr>
                <w:rFonts w:ascii="Times New Roman" w:eastAsia="Calibri" w:hAnsi="Times New Roman" w:cs="Times New Roman"/>
                <w:sz w:val="24"/>
                <w:szCs w:val="24"/>
              </w:rPr>
              <w:t>Kataster</w:t>
            </w:r>
          </w:p>
        </w:tc>
        <w:tc>
          <w:tcPr>
            <w:tcW w:w="851"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1861</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1730</w:t>
            </w:r>
          </w:p>
        </w:tc>
        <w:tc>
          <w:tcPr>
            <w:tcW w:w="90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23</w:t>
            </w:r>
          </w:p>
        </w:tc>
        <w:tc>
          <w:tcPr>
            <w:tcW w:w="720" w:type="dxa"/>
            <w:vAlign w:val="center"/>
          </w:tcPr>
          <w:p w:rsidR="00A349EC" w:rsidRPr="00A349EC" w:rsidRDefault="00A349EC" w:rsidP="00755047">
            <w:pPr>
              <w:spacing w:line="240" w:lineRule="auto"/>
              <w:ind w:left="-70" w:right="-70"/>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1753</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7</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8</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54</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39</w:t>
            </w:r>
          </w:p>
        </w:tc>
        <w:tc>
          <w:tcPr>
            <w:tcW w:w="858" w:type="dxa"/>
            <w:vAlign w:val="center"/>
          </w:tcPr>
          <w:p w:rsidR="00A349EC" w:rsidRPr="00A349EC" w:rsidRDefault="00A349EC" w:rsidP="00755047">
            <w:pPr>
              <w:spacing w:line="240" w:lineRule="auto"/>
              <w:ind w:left="-70" w:right="-70"/>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108</w:t>
            </w:r>
          </w:p>
        </w:tc>
      </w:tr>
      <w:tr w:rsidR="00A349EC" w:rsidRPr="00A349EC" w:rsidTr="00D1002B">
        <w:trPr>
          <w:trHeight w:hRule="exact" w:val="340"/>
        </w:trPr>
        <w:tc>
          <w:tcPr>
            <w:tcW w:w="1346" w:type="dxa"/>
            <w:vAlign w:val="center"/>
          </w:tcPr>
          <w:p w:rsidR="00A349EC" w:rsidRPr="00A349EC" w:rsidRDefault="00A349EC" w:rsidP="00755047">
            <w:pPr>
              <w:spacing w:line="240" w:lineRule="auto"/>
              <w:rPr>
                <w:rFonts w:ascii="Times New Roman" w:eastAsia="Calibri" w:hAnsi="Times New Roman" w:cs="Times New Roman"/>
                <w:sz w:val="24"/>
                <w:szCs w:val="24"/>
              </w:rPr>
            </w:pPr>
            <w:r w:rsidRPr="00A349EC">
              <w:rPr>
                <w:rFonts w:ascii="Times New Roman" w:eastAsia="Calibri" w:hAnsi="Times New Roman" w:cs="Times New Roman"/>
                <w:sz w:val="24"/>
                <w:szCs w:val="24"/>
              </w:rPr>
              <w:t>%</w:t>
            </w:r>
          </w:p>
        </w:tc>
        <w:tc>
          <w:tcPr>
            <w:tcW w:w="851"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98,7</w:t>
            </w:r>
          </w:p>
        </w:tc>
        <w:tc>
          <w:tcPr>
            <w:tcW w:w="90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1,3</w:t>
            </w:r>
          </w:p>
        </w:tc>
        <w:tc>
          <w:tcPr>
            <w:tcW w:w="720" w:type="dxa"/>
            <w:vAlign w:val="center"/>
          </w:tcPr>
          <w:p w:rsidR="00A349EC" w:rsidRPr="00A349EC" w:rsidRDefault="00A349EC" w:rsidP="00755047">
            <w:pPr>
              <w:spacing w:line="240" w:lineRule="auto"/>
              <w:ind w:left="-70" w:right="-70"/>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100</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6,5</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7,4</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50,0</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36,1</w:t>
            </w:r>
          </w:p>
        </w:tc>
        <w:tc>
          <w:tcPr>
            <w:tcW w:w="858" w:type="dxa"/>
            <w:vAlign w:val="center"/>
          </w:tcPr>
          <w:p w:rsidR="00A349EC" w:rsidRPr="00A349EC" w:rsidRDefault="00A349EC" w:rsidP="00755047">
            <w:pPr>
              <w:spacing w:line="240" w:lineRule="auto"/>
              <w:ind w:left="-70" w:right="-70"/>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100</w:t>
            </w:r>
          </w:p>
        </w:tc>
      </w:tr>
      <w:tr w:rsidR="00A349EC" w:rsidRPr="00A349EC" w:rsidTr="00D1002B">
        <w:trPr>
          <w:trHeight w:hRule="exact" w:val="340"/>
        </w:trPr>
        <w:tc>
          <w:tcPr>
            <w:tcW w:w="1346" w:type="dxa"/>
            <w:vAlign w:val="center"/>
          </w:tcPr>
          <w:p w:rsidR="00A349EC" w:rsidRPr="00A349EC" w:rsidRDefault="00A349EC" w:rsidP="00755047">
            <w:pPr>
              <w:spacing w:line="240" w:lineRule="auto"/>
              <w:rPr>
                <w:rFonts w:ascii="Times New Roman" w:eastAsia="Calibri" w:hAnsi="Times New Roman" w:cs="Times New Roman"/>
                <w:sz w:val="24"/>
                <w:szCs w:val="24"/>
              </w:rPr>
            </w:pPr>
            <w:r w:rsidRPr="00A349EC">
              <w:rPr>
                <w:rFonts w:ascii="Times New Roman" w:eastAsia="Calibri" w:hAnsi="Times New Roman" w:cs="Times New Roman"/>
                <w:sz w:val="24"/>
                <w:szCs w:val="24"/>
              </w:rPr>
              <w:t>Spolu</w:t>
            </w:r>
          </w:p>
        </w:tc>
        <w:tc>
          <w:tcPr>
            <w:tcW w:w="851"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1861</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1730</w:t>
            </w:r>
          </w:p>
        </w:tc>
        <w:tc>
          <w:tcPr>
            <w:tcW w:w="90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23</w:t>
            </w:r>
          </w:p>
        </w:tc>
        <w:tc>
          <w:tcPr>
            <w:tcW w:w="720" w:type="dxa"/>
            <w:vAlign w:val="center"/>
          </w:tcPr>
          <w:p w:rsidR="00A349EC" w:rsidRPr="00A349EC" w:rsidRDefault="00A349EC" w:rsidP="00755047">
            <w:pPr>
              <w:spacing w:line="240" w:lineRule="auto"/>
              <w:ind w:left="-70" w:right="-70"/>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1753</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7</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8</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54</w:t>
            </w:r>
          </w:p>
        </w:tc>
        <w:tc>
          <w:tcPr>
            <w:tcW w:w="720" w:type="dxa"/>
            <w:vAlign w:val="center"/>
          </w:tcPr>
          <w:p w:rsidR="00A349EC" w:rsidRPr="00A349EC" w:rsidRDefault="00A349EC" w:rsidP="00755047">
            <w:pPr>
              <w:spacing w:line="240" w:lineRule="auto"/>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39</w:t>
            </w:r>
          </w:p>
        </w:tc>
        <w:tc>
          <w:tcPr>
            <w:tcW w:w="858" w:type="dxa"/>
            <w:vAlign w:val="center"/>
          </w:tcPr>
          <w:p w:rsidR="00A349EC" w:rsidRPr="00A349EC" w:rsidRDefault="00A349EC" w:rsidP="00755047">
            <w:pPr>
              <w:spacing w:line="240" w:lineRule="auto"/>
              <w:ind w:left="-70" w:right="-70"/>
              <w:jc w:val="center"/>
              <w:rPr>
                <w:rFonts w:ascii="Times New Roman" w:eastAsia="Calibri" w:hAnsi="Times New Roman" w:cs="Times New Roman"/>
                <w:sz w:val="24"/>
                <w:szCs w:val="24"/>
              </w:rPr>
            </w:pPr>
            <w:r w:rsidRPr="00A349EC">
              <w:rPr>
                <w:rFonts w:ascii="Times New Roman" w:eastAsia="Calibri" w:hAnsi="Times New Roman" w:cs="Times New Roman"/>
                <w:sz w:val="24"/>
                <w:szCs w:val="24"/>
              </w:rPr>
              <w:t>108</w:t>
            </w:r>
          </w:p>
        </w:tc>
      </w:tr>
    </w:tbl>
    <w:p w:rsidR="00A349EC" w:rsidRDefault="00D1002B" w:rsidP="00755047">
      <w:pPr>
        <w:spacing w:line="240" w:lineRule="auto"/>
        <w:rPr>
          <w:rFonts w:ascii="Times New Roman" w:hAnsi="Times New Roman" w:cs="Times New Roman"/>
          <w:sz w:val="24"/>
          <w:szCs w:val="24"/>
        </w:rPr>
      </w:pPr>
      <w:r>
        <w:rPr>
          <w:rFonts w:ascii="Times New Roman" w:hAnsi="Times New Roman" w:cs="Times New Roman"/>
          <w:sz w:val="24"/>
          <w:szCs w:val="24"/>
        </w:rPr>
        <w:t>Zdroj: Obecný úrad Rastislavice</w:t>
      </w:r>
    </w:p>
    <w:p w:rsidR="00D1002B" w:rsidRDefault="00755047" w:rsidP="00755047">
      <w:pPr>
        <w:spacing w:line="240" w:lineRule="auto"/>
        <w:rPr>
          <w:rFonts w:ascii="Times New Roman" w:hAnsi="Times New Roman" w:cs="Times New Roman"/>
          <w:sz w:val="24"/>
          <w:szCs w:val="24"/>
        </w:rPr>
      </w:pPr>
      <w:r>
        <w:rPr>
          <w:rFonts w:ascii="Times New Roman" w:hAnsi="Times New Roman" w:cs="Times New Roman"/>
          <w:sz w:val="24"/>
          <w:szCs w:val="24"/>
        </w:rPr>
        <w:t>Graf 1 – Využitie pôdneho fondu katastra obce</w:t>
      </w:r>
    </w:p>
    <w:p w:rsidR="00755047" w:rsidRDefault="00755047" w:rsidP="00755047">
      <w:pPr>
        <w:spacing w:line="240" w:lineRule="auto"/>
        <w:rPr>
          <w:rFonts w:ascii="Times New Roman" w:hAnsi="Times New Roman" w:cs="Times New Roman"/>
          <w:sz w:val="24"/>
          <w:szCs w:val="24"/>
        </w:rPr>
      </w:pPr>
      <w:r w:rsidRPr="00755047">
        <w:rPr>
          <w:rFonts w:ascii="Times New Roman" w:hAnsi="Times New Roman" w:cs="Times New Roman"/>
          <w:noProof/>
          <w:sz w:val="24"/>
          <w:szCs w:val="24"/>
          <w:lang w:eastAsia="sk-SK"/>
        </w:rPr>
        <w:lastRenderedPageBreak/>
        <w:drawing>
          <wp:inline distT="0" distB="0" distL="0" distR="0">
            <wp:extent cx="5371816" cy="2565779"/>
            <wp:effectExtent l="19050" t="0" r="19334" b="5971"/>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047" w:rsidRDefault="00755047" w:rsidP="00755047">
      <w:pPr>
        <w:spacing w:line="240" w:lineRule="auto"/>
        <w:rPr>
          <w:rFonts w:ascii="Times New Roman" w:hAnsi="Times New Roman" w:cs="Times New Roman"/>
          <w:sz w:val="24"/>
          <w:szCs w:val="24"/>
        </w:rPr>
      </w:pPr>
      <w:r>
        <w:rPr>
          <w:rFonts w:ascii="Times New Roman" w:hAnsi="Times New Roman" w:cs="Times New Roman"/>
          <w:sz w:val="24"/>
          <w:szCs w:val="24"/>
        </w:rPr>
        <w:t>Zdroj: Tabuľka 1</w:t>
      </w:r>
    </w:p>
    <w:p w:rsidR="00755047" w:rsidRDefault="00755047" w:rsidP="00755047">
      <w:pPr>
        <w:spacing w:line="240" w:lineRule="auto"/>
        <w:rPr>
          <w:rFonts w:ascii="Times New Roman" w:hAnsi="Times New Roman" w:cs="Times New Roman"/>
          <w:sz w:val="24"/>
          <w:szCs w:val="24"/>
        </w:rPr>
      </w:pPr>
      <w:r>
        <w:rPr>
          <w:rFonts w:ascii="Times New Roman" w:hAnsi="Times New Roman" w:cs="Times New Roman"/>
          <w:sz w:val="24"/>
          <w:szCs w:val="24"/>
        </w:rPr>
        <w:t xml:space="preserve">Najväčší podiel z celého katastrálneho územia obce Rastislavice zaberá orná pôda, a to až 93%. Druhú najväčšiu skupinu tvorí zastavaná pôda, </w:t>
      </w:r>
      <w:r w:rsidR="00AE2F30">
        <w:rPr>
          <w:rFonts w:ascii="Times New Roman" w:hAnsi="Times New Roman" w:cs="Times New Roman"/>
          <w:sz w:val="24"/>
          <w:szCs w:val="24"/>
        </w:rPr>
        <w:t>tvorí 3%.</w:t>
      </w:r>
    </w:p>
    <w:p w:rsidR="007B52CB" w:rsidRPr="00A349EC" w:rsidRDefault="007B52CB" w:rsidP="00755047">
      <w:pPr>
        <w:spacing w:line="240" w:lineRule="auto"/>
        <w:rPr>
          <w:rFonts w:ascii="Times New Roman" w:hAnsi="Times New Roman" w:cs="Times New Roman"/>
          <w:sz w:val="24"/>
          <w:szCs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Voda</w:t>
      </w:r>
    </w:p>
    <w:p w:rsidR="00E80E90" w:rsidRPr="00A349EC" w:rsidRDefault="00E80E90"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Chotárom obce preteká </w:t>
      </w:r>
      <w:proofErr w:type="spellStart"/>
      <w:r w:rsidRPr="00A349EC">
        <w:rPr>
          <w:rFonts w:ascii="Times New Roman" w:hAnsi="Times New Roman" w:cs="Times New Roman"/>
          <w:sz w:val="24"/>
          <w:szCs w:val="24"/>
        </w:rPr>
        <w:t>Cabajský</w:t>
      </w:r>
      <w:proofErr w:type="spellEnd"/>
      <w:r w:rsidRPr="00A349EC">
        <w:rPr>
          <w:rFonts w:ascii="Times New Roman" w:hAnsi="Times New Roman" w:cs="Times New Roman"/>
          <w:sz w:val="24"/>
          <w:szCs w:val="24"/>
        </w:rPr>
        <w:t xml:space="preserve"> potok, na ktorého toku je na severe od obce (pri Poľnom Kesove) Vodná nádrž Rastislavice, a </w:t>
      </w:r>
      <w:proofErr w:type="spellStart"/>
      <w:r w:rsidRPr="00A349EC">
        <w:rPr>
          <w:rFonts w:ascii="Times New Roman" w:hAnsi="Times New Roman" w:cs="Times New Roman"/>
          <w:sz w:val="24"/>
          <w:szCs w:val="24"/>
        </w:rPr>
        <w:t>Tvrdošovský</w:t>
      </w:r>
      <w:proofErr w:type="spellEnd"/>
      <w:r w:rsidRPr="00A349EC">
        <w:rPr>
          <w:rFonts w:ascii="Times New Roman" w:hAnsi="Times New Roman" w:cs="Times New Roman"/>
          <w:sz w:val="24"/>
          <w:szCs w:val="24"/>
        </w:rPr>
        <w:t xml:space="preserve"> potok. Oba toky neskôr, západne od chotára, ústia do Dlhého kanálu, ktorý vteká do rieky Nitry na západe okresu Nové Zámky.</w:t>
      </w:r>
    </w:p>
    <w:p w:rsidR="002B4C4B" w:rsidRDefault="00BA25A7"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Kraj, najmä jeho južné oblasti, sú bohaté na výskyt vodných zdrojov. Z hľadiska prírodného bohatstva vyniká kraj v oblasti termálnych prameňov v Podhájskej, Patinciach, Komárne, Poľnom Kesove a Štúrove.</w:t>
      </w:r>
    </w:p>
    <w:p w:rsidR="00BA25A7" w:rsidRPr="00A349EC" w:rsidRDefault="00BA25A7" w:rsidP="00755047">
      <w:pPr>
        <w:spacing w:line="240" w:lineRule="auto"/>
        <w:jc w:val="both"/>
        <w:rPr>
          <w:rFonts w:ascii="Times New Roman" w:hAnsi="Times New Roman" w:cs="Times New Roman"/>
          <w:sz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Lesy</w:t>
      </w:r>
    </w:p>
    <w:p w:rsidR="00BA25A7" w:rsidRDefault="00BA25A7" w:rsidP="004B54E8">
      <w:pPr>
        <w:spacing w:line="240" w:lineRule="auto"/>
        <w:jc w:val="both"/>
        <w:rPr>
          <w:rFonts w:ascii="Times New Roman" w:hAnsi="Times New Roman" w:cs="Times New Roman"/>
          <w:sz w:val="24"/>
        </w:rPr>
      </w:pPr>
      <w:r>
        <w:rPr>
          <w:rFonts w:ascii="Times New Roman" w:hAnsi="Times New Roman" w:cs="Times New Roman"/>
          <w:sz w:val="24"/>
        </w:rPr>
        <w:t xml:space="preserve">V katastrálnom území obce Rastislavice sa nachádza 10,89 ha lesov. Najväčšiu zložku tvoria agátové stromy s podielom z celkovej lesnej výmery 38,89%. 26,79% zaberajú lesy topoľa šľachteného. </w:t>
      </w:r>
    </w:p>
    <w:p w:rsidR="004B54E8" w:rsidRDefault="00C44752" w:rsidP="004B54E8">
      <w:pPr>
        <w:spacing w:line="240" w:lineRule="auto"/>
        <w:jc w:val="both"/>
        <w:rPr>
          <w:rFonts w:ascii="Times New Roman" w:hAnsi="Times New Roman" w:cs="Times New Roman"/>
          <w:sz w:val="24"/>
        </w:rPr>
      </w:pPr>
      <w:r>
        <w:rPr>
          <w:rFonts w:ascii="Times New Roman" w:hAnsi="Times New Roman" w:cs="Times New Roman"/>
          <w:sz w:val="24"/>
        </w:rPr>
        <w:t>Tabuľka 2</w:t>
      </w:r>
      <w:r w:rsidR="004B54E8" w:rsidRPr="004B54E8">
        <w:rPr>
          <w:rFonts w:ascii="Times New Roman" w:hAnsi="Times New Roman" w:cs="Times New Roman"/>
          <w:sz w:val="24"/>
        </w:rPr>
        <w:t xml:space="preserve"> – Drevinové zloženie katastrálneho územia </w:t>
      </w:r>
      <w:r w:rsidR="001C1C9A">
        <w:rPr>
          <w:rFonts w:ascii="Times New Roman" w:hAnsi="Times New Roman" w:cs="Times New Roman"/>
          <w:sz w:val="24"/>
        </w:rPr>
        <w:t>Rastislavice</w:t>
      </w:r>
    </w:p>
    <w:tbl>
      <w:tblPr>
        <w:tblW w:w="5028" w:type="dxa"/>
        <w:tblInd w:w="65" w:type="dxa"/>
        <w:tblCellMar>
          <w:left w:w="70" w:type="dxa"/>
          <w:right w:w="70" w:type="dxa"/>
        </w:tblCellMar>
        <w:tblLook w:val="04A0" w:firstRow="1" w:lastRow="0" w:firstColumn="1" w:lastColumn="0" w:noHBand="0" w:noVBand="1"/>
      </w:tblPr>
      <w:tblGrid>
        <w:gridCol w:w="1990"/>
        <w:gridCol w:w="1621"/>
        <w:gridCol w:w="1417"/>
      </w:tblGrid>
      <w:tr w:rsidR="00C44752" w:rsidRPr="00C44752" w:rsidTr="00C44752">
        <w:trPr>
          <w:trHeight w:val="283"/>
        </w:trPr>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b/>
                <w:bCs/>
                <w:color w:val="222222"/>
                <w:sz w:val="24"/>
                <w:szCs w:val="24"/>
                <w:lang w:eastAsia="sk-SK"/>
              </w:rPr>
            </w:pPr>
            <w:r w:rsidRPr="00C44752">
              <w:rPr>
                <w:rFonts w:ascii="Times New Roman" w:eastAsia="Times New Roman" w:hAnsi="Times New Roman" w:cs="Times New Roman"/>
                <w:b/>
                <w:bCs/>
                <w:color w:val="222222"/>
                <w:sz w:val="24"/>
                <w:szCs w:val="24"/>
                <w:lang w:eastAsia="sk-SK"/>
              </w:rPr>
              <w:t>Drevina</w:t>
            </w:r>
          </w:p>
        </w:tc>
        <w:tc>
          <w:tcPr>
            <w:tcW w:w="1621" w:type="dxa"/>
            <w:tcBorders>
              <w:top w:val="single" w:sz="4" w:space="0" w:color="auto"/>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b/>
                <w:bCs/>
                <w:color w:val="222222"/>
                <w:sz w:val="24"/>
                <w:szCs w:val="24"/>
                <w:lang w:eastAsia="sk-SK"/>
              </w:rPr>
            </w:pPr>
            <w:r w:rsidRPr="00C44752">
              <w:rPr>
                <w:rFonts w:ascii="Times New Roman" w:eastAsia="Times New Roman" w:hAnsi="Times New Roman" w:cs="Times New Roman"/>
                <w:b/>
                <w:bCs/>
                <w:color w:val="222222"/>
                <w:sz w:val="24"/>
                <w:szCs w:val="24"/>
                <w:lang w:eastAsia="sk-SK"/>
              </w:rPr>
              <w:t>Výmera v ha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b/>
                <w:bCs/>
                <w:color w:val="222222"/>
                <w:sz w:val="24"/>
                <w:szCs w:val="24"/>
                <w:lang w:eastAsia="sk-SK"/>
              </w:rPr>
            </w:pPr>
            <w:r w:rsidRPr="00C44752">
              <w:rPr>
                <w:rFonts w:ascii="Times New Roman" w:eastAsia="Times New Roman" w:hAnsi="Times New Roman" w:cs="Times New Roman"/>
                <w:b/>
                <w:bCs/>
                <w:color w:val="222222"/>
                <w:sz w:val="24"/>
                <w:szCs w:val="24"/>
                <w:lang w:eastAsia="sk-SK"/>
              </w:rPr>
              <w:t>Percento</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Agát</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4,23</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38,89%</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Dub</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1,4</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12,85%</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Jaseň</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1,45</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13,32%</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Javor</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0,28</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2,54%</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Ostatné listnaté</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0,35</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3,24%</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Topoľ</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0,26</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2,37%</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Topoľ šľachtený</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2,92</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26,79%</w:t>
            </w:r>
          </w:p>
        </w:tc>
      </w:tr>
      <w:tr w:rsidR="00C44752" w:rsidRPr="00C44752" w:rsidTr="00C44752">
        <w:trPr>
          <w:trHeight w:val="283"/>
        </w:trPr>
        <w:tc>
          <w:tcPr>
            <w:tcW w:w="1990" w:type="dxa"/>
            <w:tcBorders>
              <w:top w:val="nil"/>
              <w:left w:val="single" w:sz="4" w:space="0" w:color="auto"/>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Spolu</w:t>
            </w:r>
          </w:p>
        </w:tc>
        <w:tc>
          <w:tcPr>
            <w:tcW w:w="1621"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10,89</w:t>
            </w:r>
          </w:p>
        </w:tc>
        <w:tc>
          <w:tcPr>
            <w:tcW w:w="1417" w:type="dxa"/>
            <w:tcBorders>
              <w:top w:val="nil"/>
              <w:left w:val="nil"/>
              <w:bottom w:val="single" w:sz="4" w:space="0" w:color="auto"/>
              <w:right w:val="single" w:sz="4" w:space="0" w:color="auto"/>
            </w:tcBorders>
            <w:shd w:val="clear" w:color="000000" w:fill="FFFFFF"/>
            <w:vAlign w:val="center"/>
            <w:hideMark/>
          </w:tcPr>
          <w:p w:rsidR="00C44752" w:rsidRPr="00C44752" w:rsidRDefault="00C44752" w:rsidP="00C44752">
            <w:pPr>
              <w:spacing w:after="0" w:line="240" w:lineRule="auto"/>
              <w:jc w:val="center"/>
              <w:rPr>
                <w:rFonts w:ascii="Times New Roman" w:eastAsia="Times New Roman" w:hAnsi="Times New Roman" w:cs="Times New Roman"/>
                <w:color w:val="222222"/>
                <w:sz w:val="24"/>
                <w:szCs w:val="24"/>
                <w:lang w:eastAsia="sk-SK"/>
              </w:rPr>
            </w:pPr>
            <w:r w:rsidRPr="00C44752">
              <w:rPr>
                <w:rFonts w:ascii="Times New Roman" w:eastAsia="Times New Roman" w:hAnsi="Times New Roman" w:cs="Times New Roman"/>
                <w:color w:val="222222"/>
                <w:sz w:val="24"/>
                <w:szCs w:val="24"/>
                <w:lang w:eastAsia="sk-SK"/>
              </w:rPr>
              <w:t>100,00%</w:t>
            </w:r>
          </w:p>
        </w:tc>
      </w:tr>
    </w:tbl>
    <w:p w:rsidR="00C44752" w:rsidRDefault="00C44752" w:rsidP="00C44752">
      <w:pPr>
        <w:spacing w:line="240" w:lineRule="auto"/>
        <w:jc w:val="both"/>
        <w:rPr>
          <w:rFonts w:ascii="Times New Roman" w:hAnsi="Times New Roman" w:cs="Times New Roman"/>
          <w:sz w:val="24"/>
        </w:rPr>
      </w:pPr>
      <w:r w:rsidRPr="001830C0">
        <w:rPr>
          <w:rFonts w:ascii="Times New Roman" w:hAnsi="Times New Roman" w:cs="Times New Roman"/>
          <w:sz w:val="24"/>
        </w:rPr>
        <w:t>Zdroj : Národné lesnícke centrum, Zvolen</w:t>
      </w:r>
    </w:p>
    <w:p w:rsidR="00C44752" w:rsidRPr="001830C0" w:rsidRDefault="00C44752" w:rsidP="00C44752">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Graf 2 – Drevinové zloženie </w:t>
      </w:r>
      <w:r w:rsidRPr="004B54E8">
        <w:rPr>
          <w:rFonts w:ascii="Times New Roman" w:hAnsi="Times New Roman" w:cs="Times New Roman"/>
          <w:sz w:val="24"/>
        </w:rPr>
        <w:t xml:space="preserve">katastrálneho územia </w:t>
      </w:r>
      <w:r>
        <w:rPr>
          <w:rFonts w:ascii="Times New Roman" w:hAnsi="Times New Roman" w:cs="Times New Roman"/>
          <w:sz w:val="24"/>
        </w:rPr>
        <w:t>Rastislavice</w:t>
      </w:r>
    </w:p>
    <w:p w:rsidR="002B4C4B" w:rsidRDefault="00C44752" w:rsidP="00AE2F30">
      <w:pPr>
        <w:spacing w:line="240" w:lineRule="auto"/>
        <w:jc w:val="both"/>
        <w:rPr>
          <w:rFonts w:ascii="Times New Roman" w:hAnsi="Times New Roman" w:cs="Times New Roman"/>
          <w:sz w:val="24"/>
          <w:szCs w:val="24"/>
        </w:rPr>
      </w:pPr>
      <w:r w:rsidRPr="00C44752">
        <w:rPr>
          <w:rFonts w:ascii="Times New Roman" w:hAnsi="Times New Roman" w:cs="Times New Roman"/>
          <w:noProof/>
          <w:sz w:val="24"/>
          <w:szCs w:val="24"/>
          <w:lang w:eastAsia="sk-SK"/>
        </w:rPr>
        <w:drawing>
          <wp:inline distT="0" distB="0" distL="0" distR="0">
            <wp:extent cx="5262634" cy="2866030"/>
            <wp:effectExtent l="19050" t="0" r="14216" b="0"/>
            <wp:docPr id="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752" w:rsidRPr="00AE2F30" w:rsidRDefault="00C44752" w:rsidP="00AE2F30">
      <w:pPr>
        <w:spacing w:line="240" w:lineRule="auto"/>
        <w:jc w:val="both"/>
        <w:rPr>
          <w:rFonts w:ascii="Times New Roman" w:hAnsi="Times New Roman" w:cs="Times New Roman"/>
          <w:sz w:val="24"/>
          <w:szCs w:val="24"/>
        </w:rPr>
      </w:pPr>
      <w:r>
        <w:rPr>
          <w:rFonts w:ascii="Times New Roman" w:hAnsi="Times New Roman" w:cs="Times New Roman"/>
          <w:sz w:val="24"/>
          <w:szCs w:val="24"/>
        </w:rPr>
        <w:t>Zdroj: Tabuľka 2</w:t>
      </w:r>
    </w:p>
    <w:p w:rsidR="002523EB" w:rsidRPr="00AE2F30" w:rsidRDefault="003443AF" w:rsidP="00AE2F30">
      <w:pPr>
        <w:spacing w:line="240" w:lineRule="auto"/>
        <w:jc w:val="both"/>
        <w:rPr>
          <w:rFonts w:ascii="Times New Roman" w:hAnsi="Times New Roman" w:cs="Times New Roman"/>
          <w:sz w:val="24"/>
          <w:szCs w:val="24"/>
        </w:rPr>
      </w:pPr>
      <w:r>
        <w:rPr>
          <w:rFonts w:ascii="Times New Roman" w:hAnsi="Times New Roman" w:cs="Times New Roman"/>
          <w:sz w:val="24"/>
          <w:szCs w:val="24"/>
        </w:rPr>
        <w:t>Katastrálne územ</w:t>
      </w:r>
      <w:r w:rsidR="004451AC">
        <w:rPr>
          <w:rFonts w:ascii="Times New Roman" w:hAnsi="Times New Roman" w:cs="Times New Roman"/>
          <w:sz w:val="24"/>
          <w:szCs w:val="24"/>
        </w:rPr>
        <w:t>ie obce Rastislavice má výmeru 10,89</w:t>
      </w:r>
      <w:r>
        <w:rPr>
          <w:rFonts w:ascii="Times New Roman" w:hAnsi="Times New Roman" w:cs="Times New Roman"/>
          <w:sz w:val="24"/>
          <w:szCs w:val="24"/>
        </w:rPr>
        <w:t xml:space="preserve"> ha lesov. Celá výmera je vo vlastníctve fyzických osôb.</w:t>
      </w:r>
      <w:r w:rsidR="002523EB">
        <w:rPr>
          <w:rFonts w:ascii="Times New Roman" w:hAnsi="Times New Roman" w:cs="Times New Roman"/>
          <w:sz w:val="24"/>
          <w:szCs w:val="24"/>
        </w:rPr>
        <w:t xml:space="preserve"> Jedným z obhospodarovateľov lesov v katastrálnom území Rastislavíc je p. Ing. </w:t>
      </w:r>
      <w:proofErr w:type="spellStart"/>
      <w:r w:rsidR="002523EB">
        <w:rPr>
          <w:rFonts w:ascii="Times New Roman" w:hAnsi="Times New Roman" w:cs="Times New Roman"/>
          <w:sz w:val="24"/>
          <w:szCs w:val="24"/>
        </w:rPr>
        <w:t>Jindrich</w:t>
      </w:r>
      <w:proofErr w:type="spellEnd"/>
      <w:r w:rsidR="002523EB">
        <w:rPr>
          <w:rFonts w:ascii="Times New Roman" w:hAnsi="Times New Roman" w:cs="Times New Roman"/>
          <w:sz w:val="24"/>
          <w:szCs w:val="24"/>
        </w:rPr>
        <w:t xml:space="preserve"> </w:t>
      </w:r>
      <w:proofErr w:type="spellStart"/>
      <w:r w:rsidR="002523EB">
        <w:rPr>
          <w:rFonts w:ascii="Times New Roman" w:hAnsi="Times New Roman" w:cs="Times New Roman"/>
          <w:sz w:val="24"/>
          <w:szCs w:val="24"/>
        </w:rPr>
        <w:t>Paliga</w:t>
      </w:r>
      <w:proofErr w:type="spellEnd"/>
      <w:r w:rsidR="002523EB">
        <w:rPr>
          <w:rFonts w:ascii="Times New Roman" w:hAnsi="Times New Roman" w:cs="Times New Roman"/>
          <w:sz w:val="24"/>
          <w:szCs w:val="24"/>
        </w:rPr>
        <w:t xml:space="preserve"> s výmerou 2,9831 ha.</w:t>
      </w:r>
    </w:p>
    <w:p w:rsidR="00A349EC" w:rsidRPr="00AE2F30" w:rsidRDefault="003443AF" w:rsidP="00AE2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w:t>
      </w:r>
      <w:r w:rsidR="004451AC">
        <w:rPr>
          <w:rFonts w:ascii="Times New Roman" w:hAnsi="Times New Roman" w:cs="Times New Roman"/>
          <w:sz w:val="24"/>
          <w:szCs w:val="24"/>
        </w:rPr>
        <w:t xml:space="preserve">3 </w:t>
      </w:r>
      <w:r>
        <w:rPr>
          <w:rFonts w:ascii="Times New Roman" w:hAnsi="Times New Roman" w:cs="Times New Roman"/>
          <w:sz w:val="24"/>
          <w:szCs w:val="24"/>
        </w:rPr>
        <w:t xml:space="preserve">- </w:t>
      </w:r>
      <w:r w:rsidR="00A349EC" w:rsidRPr="00AE2F30">
        <w:rPr>
          <w:rFonts w:ascii="Times New Roman" w:hAnsi="Times New Roman" w:cs="Times New Roman"/>
          <w:sz w:val="24"/>
          <w:szCs w:val="24"/>
        </w:rPr>
        <w:t>Vlastníctvo lesnej pôdy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990"/>
        <w:gridCol w:w="981"/>
        <w:gridCol w:w="1274"/>
        <w:gridCol w:w="1087"/>
        <w:gridCol w:w="1474"/>
        <w:gridCol w:w="1074"/>
        <w:gridCol w:w="810"/>
      </w:tblGrid>
      <w:tr w:rsidR="00A349EC" w:rsidRPr="004451AC" w:rsidTr="00C44752">
        <w:trPr>
          <w:trHeight w:hRule="exact" w:val="567"/>
        </w:trPr>
        <w:tc>
          <w:tcPr>
            <w:tcW w:w="1300" w:type="dxa"/>
            <w:vAlign w:val="center"/>
          </w:tcPr>
          <w:p w:rsidR="00A349EC" w:rsidRPr="004451AC" w:rsidRDefault="00A349EC" w:rsidP="00C44752">
            <w:pPr>
              <w:pStyle w:val="Zarkazkladnhotextu"/>
              <w:ind w:left="0"/>
              <w:jc w:val="center"/>
              <w:rPr>
                <w:b/>
                <w:lang w:val="sk-SK"/>
              </w:rPr>
            </w:pPr>
            <w:r w:rsidRPr="004451AC">
              <w:rPr>
                <w:b/>
                <w:lang w:val="sk-SK"/>
              </w:rPr>
              <w:t>Obec</w:t>
            </w:r>
          </w:p>
        </w:tc>
        <w:tc>
          <w:tcPr>
            <w:tcW w:w="990" w:type="dxa"/>
            <w:vAlign w:val="center"/>
          </w:tcPr>
          <w:p w:rsidR="00A349EC" w:rsidRPr="004451AC" w:rsidRDefault="00A349EC" w:rsidP="00C44752">
            <w:pPr>
              <w:pStyle w:val="Zarkazkladnhotextu"/>
              <w:ind w:left="0"/>
              <w:jc w:val="center"/>
              <w:rPr>
                <w:b/>
                <w:lang w:val="sk-SK"/>
              </w:rPr>
            </w:pPr>
            <w:r w:rsidRPr="004451AC">
              <w:rPr>
                <w:b/>
                <w:lang w:val="sk-SK"/>
              </w:rPr>
              <w:t>Výmera</w:t>
            </w:r>
          </w:p>
        </w:tc>
        <w:tc>
          <w:tcPr>
            <w:tcW w:w="981" w:type="dxa"/>
            <w:vAlign w:val="center"/>
          </w:tcPr>
          <w:p w:rsidR="00A349EC" w:rsidRPr="004451AC" w:rsidRDefault="00A349EC" w:rsidP="00C44752">
            <w:pPr>
              <w:pStyle w:val="Zarkazkladnhotextu"/>
              <w:ind w:left="0"/>
              <w:jc w:val="center"/>
              <w:rPr>
                <w:b/>
                <w:lang w:val="sk-SK"/>
              </w:rPr>
            </w:pPr>
            <w:r w:rsidRPr="004451AC">
              <w:rPr>
                <w:b/>
                <w:lang w:val="sk-SK"/>
              </w:rPr>
              <w:t>Fyzické</w:t>
            </w:r>
            <w:r w:rsidR="001C1C9A" w:rsidRPr="004451AC">
              <w:rPr>
                <w:b/>
                <w:lang w:val="sk-SK"/>
              </w:rPr>
              <w:t xml:space="preserve"> </w:t>
            </w:r>
            <w:r w:rsidRPr="004451AC">
              <w:rPr>
                <w:b/>
                <w:lang w:val="sk-SK"/>
              </w:rPr>
              <w:t>osoby</w:t>
            </w:r>
          </w:p>
        </w:tc>
        <w:tc>
          <w:tcPr>
            <w:tcW w:w="1234" w:type="dxa"/>
            <w:vAlign w:val="center"/>
          </w:tcPr>
          <w:p w:rsidR="00A349EC" w:rsidRPr="004451AC" w:rsidRDefault="00A349EC" w:rsidP="00C44752">
            <w:pPr>
              <w:pStyle w:val="Zarkazkladnhotextu"/>
              <w:ind w:left="0"/>
              <w:jc w:val="center"/>
              <w:rPr>
                <w:b/>
                <w:lang w:val="sk-SK"/>
              </w:rPr>
            </w:pPr>
            <w:r w:rsidRPr="004451AC">
              <w:rPr>
                <w:b/>
                <w:lang w:val="sk-SK"/>
              </w:rPr>
              <w:t>Obchodné</w:t>
            </w:r>
            <w:r w:rsidR="001C1C9A" w:rsidRPr="004451AC">
              <w:rPr>
                <w:b/>
                <w:lang w:val="sk-SK"/>
              </w:rPr>
              <w:t xml:space="preserve"> </w:t>
            </w:r>
            <w:r w:rsidRPr="004451AC">
              <w:rPr>
                <w:b/>
                <w:lang w:val="sk-SK"/>
              </w:rPr>
              <w:t>spoločnosti</w:t>
            </w:r>
          </w:p>
        </w:tc>
        <w:tc>
          <w:tcPr>
            <w:tcW w:w="1063" w:type="dxa"/>
            <w:vAlign w:val="center"/>
          </w:tcPr>
          <w:p w:rsidR="00A349EC" w:rsidRPr="004451AC" w:rsidRDefault="00A349EC" w:rsidP="00C44752">
            <w:pPr>
              <w:pStyle w:val="Zarkazkladnhotextu"/>
              <w:ind w:left="0"/>
              <w:jc w:val="center"/>
              <w:rPr>
                <w:b/>
                <w:lang w:val="sk-SK"/>
              </w:rPr>
            </w:pPr>
            <w:r w:rsidRPr="004451AC">
              <w:rPr>
                <w:b/>
                <w:lang w:val="sk-SK"/>
              </w:rPr>
              <w:t>Cirkevné</w:t>
            </w:r>
          </w:p>
        </w:tc>
        <w:tc>
          <w:tcPr>
            <w:tcW w:w="1420" w:type="dxa"/>
            <w:vAlign w:val="center"/>
          </w:tcPr>
          <w:p w:rsidR="00A349EC" w:rsidRPr="004451AC" w:rsidRDefault="00A349EC" w:rsidP="00C44752">
            <w:pPr>
              <w:pStyle w:val="Zarkazkladnhotextu"/>
              <w:ind w:left="0"/>
              <w:jc w:val="center"/>
              <w:rPr>
                <w:b/>
                <w:lang w:val="sk-SK"/>
              </w:rPr>
            </w:pPr>
            <w:r w:rsidRPr="004451AC">
              <w:rPr>
                <w:b/>
                <w:lang w:val="sk-SK"/>
              </w:rPr>
              <w:t>Spoločenstvá</w:t>
            </w:r>
          </w:p>
        </w:tc>
        <w:tc>
          <w:tcPr>
            <w:tcW w:w="1054" w:type="dxa"/>
            <w:vAlign w:val="center"/>
          </w:tcPr>
          <w:p w:rsidR="00A349EC" w:rsidRPr="004451AC" w:rsidRDefault="00A349EC" w:rsidP="00C44752">
            <w:pPr>
              <w:pStyle w:val="Zarkazkladnhotextu"/>
              <w:ind w:left="0"/>
              <w:jc w:val="center"/>
              <w:rPr>
                <w:b/>
                <w:lang w:val="sk-SK"/>
              </w:rPr>
            </w:pPr>
            <w:r w:rsidRPr="004451AC">
              <w:rPr>
                <w:b/>
                <w:lang w:val="sk-SK"/>
              </w:rPr>
              <w:t>Družstvá</w:t>
            </w:r>
          </w:p>
        </w:tc>
        <w:tc>
          <w:tcPr>
            <w:tcW w:w="810" w:type="dxa"/>
            <w:vAlign w:val="center"/>
          </w:tcPr>
          <w:p w:rsidR="00A349EC" w:rsidRPr="004451AC" w:rsidRDefault="00A349EC" w:rsidP="00C44752">
            <w:pPr>
              <w:pStyle w:val="Zarkazkladnhotextu"/>
              <w:ind w:left="0"/>
              <w:jc w:val="center"/>
              <w:rPr>
                <w:b/>
                <w:lang w:val="sk-SK"/>
              </w:rPr>
            </w:pPr>
            <w:r w:rsidRPr="004451AC">
              <w:rPr>
                <w:b/>
                <w:lang w:val="sk-SK"/>
              </w:rPr>
              <w:t>Obce</w:t>
            </w:r>
          </w:p>
        </w:tc>
      </w:tr>
      <w:tr w:rsidR="00A349EC" w:rsidTr="00C44752">
        <w:trPr>
          <w:trHeight w:hRule="exact" w:val="340"/>
        </w:trPr>
        <w:tc>
          <w:tcPr>
            <w:tcW w:w="1300" w:type="dxa"/>
            <w:vAlign w:val="center"/>
          </w:tcPr>
          <w:p w:rsidR="00A349EC" w:rsidRDefault="00A349EC" w:rsidP="00C44752">
            <w:pPr>
              <w:pStyle w:val="Zarkazkladnhotextu"/>
              <w:ind w:left="0"/>
              <w:jc w:val="center"/>
              <w:rPr>
                <w:lang w:val="sk-SK"/>
              </w:rPr>
            </w:pPr>
            <w:r>
              <w:rPr>
                <w:lang w:val="sk-SK"/>
              </w:rPr>
              <w:t>Rastislavice</w:t>
            </w:r>
          </w:p>
        </w:tc>
        <w:tc>
          <w:tcPr>
            <w:tcW w:w="990" w:type="dxa"/>
            <w:vAlign w:val="center"/>
          </w:tcPr>
          <w:p w:rsidR="00A349EC" w:rsidRDefault="00C44752" w:rsidP="00C44752">
            <w:pPr>
              <w:pStyle w:val="Zarkazkladnhotextu"/>
              <w:ind w:left="0"/>
              <w:jc w:val="center"/>
              <w:rPr>
                <w:lang w:val="sk-SK"/>
              </w:rPr>
            </w:pPr>
            <w:r>
              <w:rPr>
                <w:lang w:val="sk-SK"/>
              </w:rPr>
              <w:t>10,89</w:t>
            </w:r>
          </w:p>
        </w:tc>
        <w:tc>
          <w:tcPr>
            <w:tcW w:w="981" w:type="dxa"/>
            <w:vAlign w:val="center"/>
          </w:tcPr>
          <w:p w:rsidR="00A349EC" w:rsidRDefault="00C44752" w:rsidP="00C44752">
            <w:pPr>
              <w:pStyle w:val="Zarkazkladnhotextu"/>
              <w:ind w:left="0"/>
              <w:jc w:val="center"/>
              <w:rPr>
                <w:lang w:val="sk-SK"/>
              </w:rPr>
            </w:pPr>
            <w:r>
              <w:rPr>
                <w:lang w:val="sk-SK"/>
              </w:rPr>
              <w:t>10,89</w:t>
            </w:r>
          </w:p>
        </w:tc>
        <w:tc>
          <w:tcPr>
            <w:tcW w:w="1234" w:type="dxa"/>
            <w:vAlign w:val="center"/>
          </w:tcPr>
          <w:p w:rsidR="00A349EC" w:rsidRDefault="00A349EC" w:rsidP="00C44752">
            <w:pPr>
              <w:pStyle w:val="Zarkazkladnhotextu"/>
              <w:ind w:left="0"/>
              <w:jc w:val="center"/>
              <w:rPr>
                <w:lang w:val="sk-SK"/>
              </w:rPr>
            </w:pPr>
          </w:p>
        </w:tc>
        <w:tc>
          <w:tcPr>
            <w:tcW w:w="1063" w:type="dxa"/>
            <w:vAlign w:val="center"/>
          </w:tcPr>
          <w:p w:rsidR="00A349EC" w:rsidRDefault="00A349EC" w:rsidP="00C44752">
            <w:pPr>
              <w:pStyle w:val="Zarkazkladnhotextu"/>
              <w:ind w:left="0"/>
              <w:jc w:val="center"/>
              <w:rPr>
                <w:lang w:val="sk-SK"/>
              </w:rPr>
            </w:pPr>
          </w:p>
        </w:tc>
        <w:tc>
          <w:tcPr>
            <w:tcW w:w="1420" w:type="dxa"/>
            <w:vAlign w:val="center"/>
          </w:tcPr>
          <w:p w:rsidR="00A349EC" w:rsidRDefault="00A349EC" w:rsidP="00C44752">
            <w:pPr>
              <w:pStyle w:val="Zarkazkladnhotextu"/>
              <w:ind w:left="0"/>
              <w:jc w:val="center"/>
              <w:rPr>
                <w:lang w:val="sk-SK"/>
              </w:rPr>
            </w:pPr>
          </w:p>
        </w:tc>
        <w:tc>
          <w:tcPr>
            <w:tcW w:w="1054" w:type="dxa"/>
            <w:vAlign w:val="center"/>
          </w:tcPr>
          <w:p w:rsidR="00A349EC" w:rsidRDefault="00A349EC" w:rsidP="00C44752">
            <w:pPr>
              <w:pStyle w:val="Zarkazkladnhotextu"/>
              <w:ind w:left="0"/>
              <w:jc w:val="center"/>
              <w:rPr>
                <w:lang w:val="sk-SK"/>
              </w:rPr>
            </w:pPr>
          </w:p>
        </w:tc>
        <w:tc>
          <w:tcPr>
            <w:tcW w:w="810" w:type="dxa"/>
            <w:vAlign w:val="center"/>
          </w:tcPr>
          <w:p w:rsidR="00A349EC" w:rsidRDefault="00A349EC" w:rsidP="00C44752">
            <w:pPr>
              <w:pStyle w:val="Zarkazkladnhotextu"/>
              <w:ind w:left="0"/>
              <w:jc w:val="center"/>
              <w:rPr>
                <w:lang w:val="sk-SK"/>
              </w:rPr>
            </w:pPr>
          </w:p>
        </w:tc>
      </w:tr>
    </w:tbl>
    <w:p w:rsidR="00A349EC" w:rsidRPr="003443AF" w:rsidRDefault="003443AF" w:rsidP="00755047">
      <w:pPr>
        <w:spacing w:line="240" w:lineRule="auto"/>
        <w:jc w:val="both"/>
        <w:rPr>
          <w:rFonts w:ascii="Times New Roman" w:hAnsi="Times New Roman" w:cs="Times New Roman"/>
          <w:sz w:val="24"/>
          <w:szCs w:val="24"/>
        </w:rPr>
      </w:pPr>
      <w:r>
        <w:rPr>
          <w:rFonts w:ascii="Times New Roman" w:hAnsi="Times New Roman" w:cs="Times New Roman"/>
          <w:sz w:val="24"/>
          <w:szCs w:val="24"/>
        </w:rPr>
        <w:t>Zdroj: Obecný úrad Rastislavice</w:t>
      </w:r>
    </w:p>
    <w:p w:rsidR="002523EB" w:rsidRDefault="004451AC" w:rsidP="00755047">
      <w:pPr>
        <w:spacing w:line="240" w:lineRule="auto"/>
        <w:jc w:val="both"/>
        <w:rPr>
          <w:rFonts w:ascii="Times New Roman" w:hAnsi="Times New Roman" w:cs="Times New Roman"/>
          <w:sz w:val="24"/>
          <w:szCs w:val="24"/>
        </w:rPr>
      </w:pPr>
      <w:r>
        <w:rPr>
          <w:rFonts w:ascii="Times New Roman" w:hAnsi="Times New Roman" w:cs="Times New Roman"/>
          <w:sz w:val="24"/>
          <w:szCs w:val="24"/>
        </w:rPr>
        <w:t>V katastrálnom území obce Rastislavice je výchovnej ťažby vo výmere 2,4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listnatej dreviny a obnovnej 61,2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listnatej dreviny. Existujú aj zásoby listnatej dreviny vo výmere 1 373 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4451AC" w:rsidRPr="004451AC" w:rsidRDefault="004451AC" w:rsidP="00755047">
      <w:pPr>
        <w:spacing w:line="240" w:lineRule="auto"/>
        <w:jc w:val="both"/>
        <w:rPr>
          <w:rFonts w:ascii="Times New Roman" w:hAnsi="Times New Roman" w:cs="Times New Roman"/>
          <w:sz w:val="24"/>
          <w:szCs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Nerastné suroviny</w:t>
      </w:r>
    </w:p>
    <w:p w:rsidR="002B4C4B" w:rsidRDefault="004451AC" w:rsidP="00755047">
      <w:pPr>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V katastrálnom území obce Rastislavice sa neevidujú žiadne nerastné suroviny ani ich ťažba.</w:t>
      </w:r>
    </w:p>
    <w:p w:rsidR="004451AC" w:rsidRPr="00A349EC" w:rsidRDefault="004451AC" w:rsidP="00755047">
      <w:pPr>
        <w:spacing w:line="240" w:lineRule="auto"/>
        <w:jc w:val="both"/>
        <w:rPr>
          <w:rFonts w:ascii="Times New Roman" w:hAnsi="Times New Roman" w:cs="Times New Roman"/>
          <w:sz w:val="24"/>
          <w:szCs w:val="24"/>
          <w:lang w:eastAsia="sk-SK"/>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Chránené územia</w:t>
      </w:r>
    </w:p>
    <w:p w:rsidR="004451AC" w:rsidRPr="004451AC" w:rsidRDefault="004451AC" w:rsidP="004451AC">
      <w:pPr>
        <w:spacing w:line="240" w:lineRule="auto"/>
        <w:jc w:val="both"/>
        <w:rPr>
          <w:rFonts w:ascii="Times New Roman" w:hAnsi="Times New Roman" w:cs="Times New Roman"/>
          <w:sz w:val="24"/>
          <w:szCs w:val="24"/>
          <w:lang w:eastAsia="sk-SK"/>
        </w:rPr>
      </w:pPr>
      <w:r w:rsidRPr="004451AC">
        <w:rPr>
          <w:rFonts w:ascii="Times New Roman" w:hAnsi="Times New Roman" w:cs="Times New Roman"/>
          <w:sz w:val="24"/>
          <w:szCs w:val="24"/>
          <w:lang w:eastAsia="sk-SK"/>
        </w:rPr>
        <w:t xml:space="preserve">V katastrálnom území obce Rastislavice </w:t>
      </w:r>
      <w:r>
        <w:rPr>
          <w:rFonts w:ascii="Times New Roman" w:hAnsi="Times New Roman" w:cs="Times New Roman"/>
          <w:sz w:val="24"/>
          <w:szCs w:val="24"/>
          <w:lang w:eastAsia="sk-SK"/>
        </w:rPr>
        <w:t>sa nenachádzajú žiadne</w:t>
      </w:r>
      <w:r w:rsidRPr="004451AC">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chránené územia</w:t>
      </w:r>
      <w:r w:rsidRPr="004451AC">
        <w:rPr>
          <w:rFonts w:ascii="Times New Roman" w:hAnsi="Times New Roman" w:cs="Times New Roman"/>
          <w:sz w:val="24"/>
          <w:szCs w:val="24"/>
          <w:lang w:eastAsia="sk-SK"/>
        </w:rPr>
        <w:t>.</w:t>
      </w:r>
    </w:p>
    <w:p w:rsidR="002B4C4B" w:rsidRPr="004451AC" w:rsidRDefault="002B4C4B" w:rsidP="004451AC">
      <w:pPr>
        <w:spacing w:line="240" w:lineRule="auto"/>
        <w:jc w:val="both"/>
        <w:rPr>
          <w:rFonts w:ascii="Times New Roman" w:hAnsi="Times New Roman" w:cs="Times New Roman"/>
          <w:sz w:val="24"/>
          <w:szCs w:val="24"/>
        </w:rPr>
      </w:pPr>
    </w:p>
    <w:p w:rsidR="002B4C4B" w:rsidRPr="00A349EC" w:rsidRDefault="002B4C4B" w:rsidP="000E35EF">
      <w:pPr>
        <w:pStyle w:val="Odsekzoznamu"/>
        <w:numPr>
          <w:ilvl w:val="2"/>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Demografické zdroje</w:t>
      </w:r>
    </w:p>
    <w:p w:rsidR="007C3092" w:rsidRDefault="007C3092" w:rsidP="007C3092">
      <w:pPr>
        <w:spacing w:line="240" w:lineRule="auto"/>
        <w:jc w:val="both"/>
        <w:rPr>
          <w:rFonts w:ascii="Times New Roman" w:hAnsi="Times New Roman" w:cs="Times New Roman"/>
          <w:sz w:val="24"/>
        </w:rPr>
      </w:pPr>
      <w:r w:rsidRPr="007C3092">
        <w:rPr>
          <w:rFonts w:ascii="Times New Roman" w:hAnsi="Times New Roman" w:cs="Times New Roman"/>
          <w:sz w:val="24"/>
        </w:rPr>
        <w:t xml:space="preserve">V tejto podkapitole sa venujeme demografickému potenciálu obce </w:t>
      </w:r>
      <w:r>
        <w:rPr>
          <w:rFonts w:ascii="Times New Roman" w:hAnsi="Times New Roman" w:cs="Times New Roman"/>
          <w:sz w:val="24"/>
        </w:rPr>
        <w:t>Rastislavice</w:t>
      </w:r>
      <w:r w:rsidRPr="007C3092">
        <w:rPr>
          <w:rFonts w:ascii="Times New Roman" w:hAnsi="Times New Roman" w:cs="Times New Roman"/>
          <w:sz w:val="24"/>
        </w:rPr>
        <w:t>. Výsledky demografickej situácie a celkovej štruktúry obyvateľov sú spracované v 10-ročnom trende.</w:t>
      </w:r>
    </w:p>
    <w:p w:rsidR="007C3092" w:rsidRPr="007C3092" w:rsidRDefault="007C3092" w:rsidP="007C3092">
      <w:pPr>
        <w:spacing w:line="240" w:lineRule="auto"/>
        <w:jc w:val="both"/>
        <w:rPr>
          <w:rFonts w:ascii="Times New Roman" w:hAnsi="Times New Roman" w:cs="Times New Roman"/>
          <w:sz w:val="24"/>
        </w:rPr>
      </w:pPr>
      <w:r>
        <w:rPr>
          <w:rFonts w:ascii="Times New Roman" w:hAnsi="Times New Roman" w:cs="Times New Roman"/>
          <w:sz w:val="24"/>
        </w:rPr>
        <w:lastRenderedPageBreak/>
        <w:t>Tabuľka 4 – Demografický vývoj v obci Rastislavice</w:t>
      </w:r>
    </w:p>
    <w:tbl>
      <w:tblPr>
        <w:tblW w:w="74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
        <w:gridCol w:w="1055"/>
        <w:gridCol w:w="1901"/>
        <w:gridCol w:w="1421"/>
        <w:gridCol w:w="1674"/>
        <w:gridCol w:w="960"/>
      </w:tblGrid>
      <w:tr w:rsidR="007C3092" w:rsidRPr="007C3092" w:rsidTr="007C3092">
        <w:trPr>
          <w:trHeight w:val="315"/>
        </w:trPr>
        <w:tc>
          <w:tcPr>
            <w:tcW w:w="1920" w:type="dxa"/>
            <w:gridSpan w:val="2"/>
            <w:vMerge w:val="restart"/>
            <w:shd w:val="clear" w:color="000000" w:fill="C0C0C0"/>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 </w:t>
            </w:r>
          </w:p>
        </w:tc>
        <w:tc>
          <w:tcPr>
            <w:tcW w:w="4606" w:type="dxa"/>
            <w:gridSpan w:val="3"/>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OBYVATEĽSTVO</w:t>
            </w:r>
          </w:p>
        </w:tc>
        <w:tc>
          <w:tcPr>
            <w:tcW w:w="960"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r>
      <w:tr w:rsidR="007C3092" w:rsidRPr="007C3092" w:rsidTr="007C3092">
        <w:trPr>
          <w:trHeight w:val="945"/>
        </w:trPr>
        <w:tc>
          <w:tcPr>
            <w:tcW w:w="1920" w:type="dxa"/>
            <w:gridSpan w:val="2"/>
            <w:vMerge/>
            <w:vAlign w:val="center"/>
            <w:hideMark/>
          </w:tcPr>
          <w:p w:rsidR="007C3092" w:rsidRPr="007C3092" w:rsidRDefault="007C3092" w:rsidP="007C3092">
            <w:pPr>
              <w:spacing w:after="0" w:line="240" w:lineRule="auto"/>
              <w:rPr>
                <w:rFonts w:ascii="Times New Roman" w:eastAsia="Times New Roman" w:hAnsi="Times New Roman" w:cs="Times New Roman"/>
                <w:color w:val="000000"/>
                <w:sz w:val="24"/>
                <w:szCs w:val="24"/>
                <w:lang w:eastAsia="sk-SK"/>
              </w:rPr>
            </w:pP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Predproduktívne</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Produktívne</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Poproduktívne</w:t>
            </w:r>
          </w:p>
        </w:tc>
        <w:tc>
          <w:tcPr>
            <w:tcW w:w="960"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r>
      <w:tr w:rsidR="007C3092" w:rsidRPr="007C3092" w:rsidTr="007C3092">
        <w:trPr>
          <w:trHeight w:val="315"/>
        </w:trPr>
        <w:tc>
          <w:tcPr>
            <w:tcW w:w="1920" w:type="dxa"/>
            <w:gridSpan w:val="2"/>
            <w:vMerge/>
            <w:vAlign w:val="center"/>
            <w:hideMark/>
          </w:tcPr>
          <w:p w:rsidR="007C3092" w:rsidRPr="007C3092" w:rsidRDefault="007C3092" w:rsidP="007C3092">
            <w:pPr>
              <w:spacing w:after="0" w:line="240" w:lineRule="auto"/>
              <w:rPr>
                <w:rFonts w:ascii="Times New Roman" w:eastAsia="Times New Roman" w:hAnsi="Times New Roman" w:cs="Times New Roman"/>
                <w:color w:val="000000"/>
                <w:sz w:val="24"/>
                <w:szCs w:val="24"/>
                <w:lang w:eastAsia="sk-SK"/>
              </w:rPr>
            </w:pP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0-14</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15 - 62</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62 +</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 </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2014</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67</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312</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481</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60</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307</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61</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428</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127</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619</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163</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909</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2013</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63</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466</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300</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63</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422</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122</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601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165</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888</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2012</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62</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465</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300</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72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431</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121</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601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174</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896</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2011</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61</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304</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467</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58</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303</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72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433</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607</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174</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900</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2010</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64</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300</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480</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54</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302</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72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428</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118</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602</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188</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908</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2009</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302</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477</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56</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302</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72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430</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115</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604</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188</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907</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2008</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58</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320</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100</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478</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52</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321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439</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110</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641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166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917</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2007</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50</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318</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90</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458</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317</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442</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635</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156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900</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2006</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50</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321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90</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461</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323</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448</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109</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644</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156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909</w:t>
            </w:r>
          </w:p>
        </w:tc>
      </w:tr>
      <w:tr w:rsidR="007C3092" w:rsidRPr="007C3092" w:rsidTr="007C3092">
        <w:trPr>
          <w:trHeight w:val="315"/>
        </w:trPr>
        <w:tc>
          <w:tcPr>
            <w:tcW w:w="865" w:type="dxa"/>
            <w:vMerge w:val="restart"/>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2005</w:t>
            </w: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Ženy</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56</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321</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86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463</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Muži</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61</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323</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66</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450</w:t>
            </w:r>
          </w:p>
        </w:tc>
      </w:tr>
      <w:tr w:rsidR="007C3092" w:rsidRPr="007C3092" w:rsidTr="007C3092">
        <w:trPr>
          <w:trHeight w:val="315"/>
        </w:trPr>
        <w:tc>
          <w:tcPr>
            <w:tcW w:w="865" w:type="dxa"/>
            <w:vMerge/>
            <w:vAlign w:val="center"/>
            <w:hideMark/>
          </w:tcPr>
          <w:p w:rsidR="007C3092" w:rsidRPr="007C3092" w:rsidRDefault="007C3092" w:rsidP="007C3092">
            <w:pPr>
              <w:spacing w:after="0" w:line="240" w:lineRule="auto"/>
              <w:rPr>
                <w:rFonts w:ascii="Times New Roman" w:eastAsia="Times New Roman" w:hAnsi="Times New Roman" w:cs="Times New Roman"/>
                <w:b/>
                <w:bCs/>
                <w:color w:val="000000"/>
                <w:sz w:val="24"/>
                <w:szCs w:val="24"/>
                <w:lang w:eastAsia="sk-SK"/>
              </w:rPr>
            </w:pPr>
          </w:p>
        </w:tc>
        <w:tc>
          <w:tcPr>
            <w:tcW w:w="1055"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Spolu</w:t>
            </w:r>
          </w:p>
        </w:tc>
        <w:tc>
          <w:tcPr>
            <w:tcW w:w="177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117</w:t>
            </w:r>
          </w:p>
        </w:tc>
        <w:tc>
          <w:tcPr>
            <w:tcW w:w="1291"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644</w:t>
            </w:r>
          </w:p>
        </w:tc>
        <w:tc>
          <w:tcPr>
            <w:tcW w:w="1544"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152</w:t>
            </w:r>
          </w:p>
        </w:tc>
        <w:tc>
          <w:tcPr>
            <w:tcW w:w="960" w:type="dxa"/>
            <w:shd w:val="clear" w:color="auto" w:fill="auto"/>
            <w:noWrap/>
            <w:vAlign w:val="center"/>
            <w:hideMark/>
          </w:tcPr>
          <w:p w:rsidR="007C3092" w:rsidRPr="007C3092" w:rsidRDefault="007C3092" w:rsidP="007C3092">
            <w:pPr>
              <w:spacing w:after="0" w:line="240" w:lineRule="auto"/>
              <w:jc w:val="both"/>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913</w:t>
            </w:r>
          </w:p>
        </w:tc>
      </w:tr>
    </w:tbl>
    <w:p w:rsidR="00C44752" w:rsidRDefault="007C3092" w:rsidP="00C44752">
      <w:pPr>
        <w:spacing w:line="240" w:lineRule="auto"/>
        <w:jc w:val="both"/>
        <w:rPr>
          <w:rFonts w:ascii="Times New Roman" w:hAnsi="Times New Roman" w:cs="Times New Roman"/>
          <w:sz w:val="24"/>
        </w:rPr>
      </w:pPr>
      <w:r>
        <w:rPr>
          <w:rFonts w:ascii="Times New Roman" w:hAnsi="Times New Roman" w:cs="Times New Roman"/>
          <w:sz w:val="24"/>
        </w:rPr>
        <w:t xml:space="preserve">Zdroj: </w:t>
      </w:r>
      <w:r w:rsidR="00340C77">
        <w:rPr>
          <w:rFonts w:ascii="Times New Roman" w:hAnsi="Times New Roman" w:cs="Times New Roman"/>
          <w:sz w:val="24"/>
        </w:rPr>
        <w:t>Štatistický úrad SR</w:t>
      </w:r>
    </w:p>
    <w:p w:rsidR="00340C77" w:rsidRDefault="00340C77" w:rsidP="00C44752">
      <w:pPr>
        <w:spacing w:line="240" w:lineRule="auto"/>
        <w:jc w:val="both"/>
        <w:rPr>
          <w:rFonts w:ascii="Times New Roman" w:hAnsi="Times New Roman" w:cs="Times New Roman"/>
          <w:sz w:val="24"/>
        </w:rPr>
      </w:pPr>
    </w:p>
    <w:p w:rsidR="000E35EF" w:rsidRDefault="000E35EF" w:rsidP="00C44752">
      <w:pPr>
        <w:spacing w:line="240" w:lineRule="auto"/>
        <w:jc w:val="both"/>
        <w:rPr>
          <w:rFonts w:ascii="Times New Roman" w:hAnsi="Times New Roman" w:cs="Times New Roman"/>
          <w:sz w:val="24"/>
        </w:rPr>
      </w:pPr>
    </w:p>
    <w:p w:rsidR="000E35EF" w:rsidRDefault="000E35EF" w:rsidP="00C44752">
      <w:pPr>
        <w:spacing w:line="240" w:lineRule="auto"/>
        <w:jc w:val="both"/>
        <w:rPr>
          <w:rFonts w:ascii="Times New Roman" w:hAnsi="Times New Roman" w:cs="Times New Roman"/>
          <w:sz w:val="24"/>
        </w:rPr>
      </w:pPr>
    </w:p>
    <w:p w:rsidR="007C3092" w:rsidRDefault="007C3092"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lastRenderedPageBreak/>
        <w:t>Počet obyvateľov</w:t>
      </w:r>
    </w:p>
    <w:p w:rsidR="007C3092" w:rsidRDefault="007C3092" w:rsidP="00C44752">
      <w:pPr>
        <w:spacing w:line="240" w:lineRule="auto"/>
        <w:jc w:val="both"/>
        <w:rPr>
          <w:rFonts w:ascii="Times New Roman" w:hAnsi="Times New Roman" w:cs="Times New Roman"/>
          <w:sz w:val="24"/>
        </w:rPr>
      </w:pPr>
      <w:r>
        <w:rPr>
          <w:rFonts w:ascii="Times New Roman" w:hAnsi="Times New Roman" w:cs="Times New Roman"/>
          <w:sz w:val="24"/>
        </w:rPr>
        <w:t xml:space="preserve">Obec Rastislavice patrí medzi stredne veľké obce. Za posledných 10 rokov sa počet obyvateľov stále pohyboval okolo 900. Najviac obyvateľov bolo v roku 2005, a to 913 obyvateľov. Nedá sa určiť, či má počet obyvateľov klesajúci alebo stúpajúci trend, keďže sa počet obyvateľov stále znižoval do roku 2007, </w:t>
      </w:r>
      <w:r w:rsidR="00340C77">
        <w:rPr>
          <w:rFonts w:ascii="Times New Roman" w:hAnsi="Times New Roman" w:cs="Times New Roman"/>
          <w:sz w:val="24"/>
        </w:rPr>
        <w:t>na rok 2008 nastal nárast a znovu sa mierne znižoval</w:t>
      </w:r>
      <w:r>
        <w:rPr>
          <w:rFonts w:ascii="Times New Roman" w:hAnsi="Times New Roman" w:cs="Times New Roman"/>
          <w:sz w:val="24"/>
        </w:rPr>
        <w:t xml:space="preserve"> </w:t>
      </w:r>
      <w:r w:rsidR="00340C77">
        <w:rPr>
          <w:rFonts w:ascii="Times New Roman" w:hAnsi="Times New Roman" w:cs="Times New Roman"/>
          <w:sz w:val="24"/>
        </w:rPr>
        <w:t>až do roku 2013. Za týchto 5 rokov sa počet obyvateľov v obci znížil o 3,2%. V roku 2014 nastala pozitívna zmena, pribudlo 21 obyvateľov.</w:t>
      </w:r>
    </w:p>
    <w:p w:rsidR="007C3092" w:rsidRPr="007C3092" w:rsidRDefault="007C3092" w:rsidP="00C44752">
      <w:pPr>
        <w:spacing w:line="240" w:lineRule="auto"/>
        <w:jc w:val="both"/>
        <w:rPr>
          <w:rFonts w:ascii="Times New Roman" w:hAnsi="Times New Roman" w:cs="Times New Roman"/>
          <w:sz w:val="24"/>
        </w:rPr>
      </w:pPr>
      <w:r>
        <w:rPr>
          <w:rFonts w:ascii="Times New Roman" w:hAnsi="Times New Roman" w:cs="Times New Roman"/>
          <w:sz w:val="24"/>
        </w:rPr>
        <w:t>Tabuľka 5 – Vývoj počtu obyvateľov</w:t>
      </w:r>
    </w:p>
    <w:tbl>
      <w:tblPr>
        <w:tblW w:w="8734" w:type="dxa"/>
        <w:tblInd w:w="65" w:type="dxa"/>
        <w:tblCellMar>
          <w:left w:w="70" w:type="dxa"/>
          <w:right w:w="70"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7C3092" w:rsidRPr="007C3092" w:rsidTr="007C3092">
        <w:trPr>
          <w:trHeight w:val="315"/>
        </w:trPr>
        <w:tc>
          <w:tcPr>
            <w:tcW w:w="794" w:type="dxa"/>
            <w:tcBorders>
              <w:top w:val="single" w:sz="4" w:space="0" w:color="auto"/>
              <w:left w:val="single" w:sz="4" w:space="0" w:color="auto"/>
              <w:bottom w:val="single" w:sz="4" w:space="0" w:color="auto"/>
              <w:right w:val="single" w:sz="4" w:space="0" w:color="auto"/>
            </w:tcBorders>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2009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b/>
                <w:bCs/>
                <w:color w:val="000000"/>
                <w:sz w:val="24"/>
                <w:szCs w:val="24"/>
                <w:lang w:eastAsia="sk-SK"/>
              </w:rPr>
            </w:pPr>
            <w:r w:rsidRPr="007C3092">
              <w:rPr>
                <w:rFonts w:ascii="Times New Roman" w:eastAsia="Times New Roman" w:hAnsi="Times New Roman" w:cs="Times New Roman"/>
                <w:b/>
                <w:bCs/>
                <w:color w:val="000000"/>
                <w:sz w:val="24"/>
                <w:szCs w:val="24"/>
                <w:lang w:eastAsia="sk-SK"/>
              </w:rPr>
              <w:t>2014</w:t>
            </w:r>
          </w:p>
        </w:tc>
      </w:tr>
      <w:tr w:rsidR="007C3092" w:rsidRPr="007C3092" w:rsidTr="007C3092">
        <w:trPr>
          <w:trHeight w:val="315"/>
        </w:trPr>
        <w:tc>
          <w:tcPr>
            <w:tcW w:w="794" w:type="dxa"/>
            <w:tcBorders>
              <w:top w:val="nil"/>
              <w:left w:val="single" w:sz="4" w:space="0" w:color="auto"/>
              <w:bottom w:val="single" w:sz="4" w:space="0" w:color="auto"/>
              <w:right w:val="single" w:sz="4" w:space="0" w:color="auto"/>
            </w:tcBorders>
            <w:vAlign w:val="center"/>
          </w:tcPr>
          <w:p w:rsidR="007C3092" w:rsidRPr="007C3092" w:rsidRDefault="007C3092" w:rsidP="007C309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Počet obyv.</w:t>
            </w: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913</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sz w:val="24"/>
                <w:szCs w:val="24"/>
                <w:lang w:eastAsia="sk-SK"/>
              </w:rPr>
            </w:pPr>
            <w:r w:rsidRPr="007C3092">
              <w:rPr>
                <w:rFonts w:ascii="Times New Roman" w:eastAsia="Times New Roman" w:hAnsi="Times New Roman" w:cs="Times New Roman"/>
                <w:color w:val="000000"/>
                <w:sz w:val="24"/>
                <w:szCs w:val="24"/>
                <w:lang w:eastAsia="sk-SK"/>
              </w:rPr>
              <w:t>909</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900</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917</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907</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908</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900</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896</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888</w:t>
            </w:r>
          </w:p>
        </w:tc>
        <w:tc>
          <w:tcPr>
            <w:tcW w:w="794" w:type="dxa"/>
            <w:tcBorders>
              <w:top w:val="nil"/>
              <w:left w:val="nil"/>
              <w:bottom w:val="single" w:sz="4" w:space="0" w:color="auto"/>
              <w:right w:val="single" w:sz="4" w:space="0" w:color="auto"/>
            </w:tcBorders>
            <w:shd w:val="clear" w:color="auto" w:fill="auto"/>
            <w:noWrap/>
            <w:vAlign w:val="center"/>
            <w:hideMark/>
          </w:tcPr>
          <w:p w:rsidR="007C3092" w:rsidRPr="007C3092" w:rsidRDefault="007C3092" w:rsidP="007C3092">
            <w:pPr>
              <w:spacing w:after="0" w:line="240" w:lineRule="auto"/>
              <w:jc w:val="center"/>
              <w:rPr>
                <w:rFonts w:ascii="Times New Roman" w:eastAsia="Times New Roman" w:hAnsi="Times New Roman" w:cs="Times New Roman"/>
                <w:color w:val="000000"/>
                <w:lang w:eastAsia="sk-SK"/>
              </w:rPr>
            </w:pPr>
            <w:r w:rsidRPr="007C3092">
              <w:rPr>
                <w:rFonts w:ascii="Times New Roman" w:eastAsia="Times New Roman" w:hAnsi="Times New Roman" w:cs="Times New Roman"/>
                <w:color w:val="000000"/>
                <w:lang w:eastAsia="sk-SK"/>
              </w:rPr>
              <w:t>909</w:t>
            </w:r>
          </w:p>
        </w:tc>
      </w:tr>
    </w:tbl>
    <w:p w:rsidR="00C44752" w:rsidRDefault="00340C77" w:rsidP="00C44752">
      <w:pPr>
        <w:spacing w:line="240" w:lineRule="auto"/>
        <w:jc w:val="both"/>
        <w:rPr>
          <w:rFonts w:ascii="Times New Roman" w:hAnsi="Times New Roman" w:cs="Times New Roman"/>
          <w:sz w:val="24"/>
        </w:rPr>
      </w:pPr>
      <w:r>
        <w:rPr>
          <w:rFonts w:ascii="Times New Roman" w:hAnsi="Times New Roman" w:cs="Times New Roman"/>
          <w:sz w:val="24"/>
        </w:rPr>
        <w:t>Zdroj: Tabuľka 4</w:t>
      </w:r>
    </w:p>
    <w:p w:rsidR="00340C77" w:rsidRDefault="00340C77" w:rsidP="00C44752">
      <w:pPr>
        <w:spacing w:line="240" w:lineRule="auto"/>
        <w:jc w:val="both"/>
        <w:rPr>
          <w:rFonts w:ascii="Times New Roman" w:hAnsi="Times New Roman" w:cs="Times New Roman"/>
          <w:sz w:val="24"/>
        </w:rPr>
      </w:pPr>
      <w:r>
        <w:rPr>
          <w:rFonts w:ascii="Times New Roman" w:hAnsi="Times New Roman" w:cs="Times New Roman"/>
          <w:sz w:val="24"/>
        </w:rPr>
        <w:t>Graf 3 – Vývoj počtu obyvateľov</w:t>
      </w:r>
    </w:p>
    <w:p w:rsidR="00340C77" w:rsidRPr="00340C77" w:rsidRDefault="00340C77" w:rsidP="00C44752">
      <w:pPr>
        <w:spacing w:line="240" w:lineRule="auto"/>
        <w:jc w:val="both"/>
        <w:rPr>
          <w:rFonts w:ascii="Times New Roman" w:hAnsi="Times New Roman" w:cs="Times New Roman"/>
          <w:sz w:val="24"/>
        </w:rPr>
      </w:pPr>
      <w:r w:rsidRPr="00340C77">
        <w:rPr>
          <w:rFonts w:ascii="Times New Roman" w:hAnsi="Times New Roman" w:cs="Times New Roman"/>
          <w:noProof/>
          <w:sz w:val="24"/>
          <w:lang w:eastAsia="sk-SK"/>
        </w:rPr>
        <w:drawing>
          <wp:inline distT="0" distB="0" distL="0" distR="0">
            <wp:extent cx="4572000" cy="2738438"/>
            <wp:effectExtent l="19050" t="0" r="19050" b="4762"/>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3092" w:rsidRDefault="00340C77" w:rsidP="00C44752">
      <w:pPr>
        <w:spacing w:line="240" w:lineRule="auto"/>
        <w:jc w:val="both"/>
        <w:rPr>
          <w:rFonts w:ascii="Times New Roman" w:hAnsi="Times New Roman" w:cs="Times New Roman"/>
          <w:sz w:val="24"/>
        </w:rPr>
      </w:pPr>
      <w:r>
        <w:rPr>
          <w:rFonts w:ascii="Times New Roman" w:hAnsi="Times New Roman" w:cs="Times New Roman"/>
          <w:sz w:val="24"/>
        </w:rPr>
        <w:t>Zdroj: Tabuľka 5</w:t>
      </w:r>
    </w:p>
    <w:p w:rsidR="00660053" w:rsidRDefault="00660053" w:rsidP="00C44752">
      <w:pPr>
        <w:spacing w:line="240" w:lineRule="auto"/>
        <w:jc w:val="both"/>
        <w:rPr>
          <w:rFonts w:ascii="Times New Roman" w:hAnsi="Times New Roman" w:cs="Times New Roman"/>
          <w:sz w:val="24"/>
        </w:rPr>
      </w:pPr>
      <w:r>
        <w:rPr>
          <w:rFonts w:ascii="Times New Roman" w:hAnsi="Times New Roman" w:cs="Times New Roman"/>
          <w:sz w:val="24"/>
        </w:rPr>
        <w:t>V obci Rastislavice prevažuje ženská populácia. V 10 ročnom slede vidieť, že počet žien zväčša stúpal. Najväčší nárast počtu žien bol v roku 2008, kedy pribudlo v obci 20 žien. V prípade mužov je to naopak, počet mužov v obci má klesajúci trend. Od roku 2005 klesol počet mužov o 4,9%.</w:t>
      </w:r>
    </w:p>
    <w:p w:rsidR="00660053" w:rsidRDefault="00660053" w:rsidP="00C44752">
      <w:pPr>
        <w:spacing w:line="240" w:lineRule="auto"/>
        <w:jc w:val="both"/>
        <w:rPr>
          <w:rFonts w:ascii="Times New Roman" w:hAnsi="Times New Roman" w:cs="Times New Roman"/>
          <w:sz w:val="24"/>
        </w:rPr>
      </w:pPr>
      <w:r>
        <w:rPr>
          <w:rFonts w:ascii="Times New Roman" w:hAnsi="Times New Roman" w:cs="Times New Roman"/>
          <w:sz w:val="24"/>
        </w:rPr>
        <w:t xml:space="preserve">Tabuľka 6 – Obyvateľstvo podľa pohlavia </w:t>
      </w:r>
    </w:p>
    <w:tbl>
      <w:tblPr>
        <w:tblW w:w="8900" w:type="dxa"/>
        <w:tblInd w:w="65" w:type="dxa"/>
        <w:tblCellMar>
          <w:left w:w="70" w:type="dxa"/>
          <w:right w:w="70" w:type="dxa"/>
        </w:tblCellMar>
        <w:tblLook w:val="04A0" w:firstRow="1" w:lastRow="0" w:firstColumn="1" w:lastColumn="0" w:noHBand="0" w:noVBand="1"/>
      </w:tblPr>
      <w:tblGrid>
        <w:gridCol w:w="960"/>
        <w:gridCol w:w="794"/>
        <w:gridCol w:w="794"/>
        <w:gridCol w:w="794"/>
        <w:gridCol w:w="794"/>
        <w:gridCol w:w="794"/>
        <w:gridCol w:w="794"/>
        <w:gridCol w:w="794"/>
        <w:gridCol w:w="794"/>
        <w:gridCol w:w="794"/>
        <w:gridCol w:w="794"/>
      </w:tblGrid>
      <w:tr w:rsidR="00340C77" w:rsidRPr="00340C77" w:rsidTr="0066005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C77" w:rsidRPr="00340C77" w:rsidRDefault="00340C77" w:rsidP="00340C77">
            <w:pPr>
              <w:spacing w:after="0" w:line="240" w:lineRule="auto"/>
              <w:rPr>
                <w:rFonts w:ascii="Times New Roman" w:eastAsia="Times New Roman" w:hAnsi="Times New Roman" w:cs="Times New Roman"/>
                <w:color w:val="000000"/>
                <w:lang w:eastAsia="sk-SK"/>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2005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2006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2008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2009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2010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2012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2013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2014</w:t>
            </w:r>
          </w:p>
        </w:tc>
      </w:tr>
      <w:tr w:rsidR="00340C77" w:rsidRPr="00340C77" w:rsidTr="006600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C77" w:rsidRPr="00340C77" w:rsidRDefault="00340C77" w:rsidP="00340C77">
            <w:pPr>
              <w:spacing w:after="0" w:line="240" w:lineRule="auto"/>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ženy</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463</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461</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458</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478</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477</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480</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467</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465</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466</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481</w:t>
            </w:r>
          </w:p>
        </w:tc>
      </w:tr>
      <w:tr w:rsidR="00340C77" w:rsidRPr="00340C77" w:rsidTr="006600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40C77" w:rsidRPr="00340C77" w:rsidRDefault="00340C77" w:rsidP="00340C77">
            <w:pPr>
              <w:spacing w:after="0" w:line="240" w:lineRule="auto"/>
              <w:rPr>
                <w:rFonts w:ascii="Times New Roman" w:eastAsia="Times New Roman" w:hAnsi="Times New Roman" w:cs="Times New Roman"/>
                <w:b/>
                <w:bCs/>
                <w:color w:val="000000"/>
                <w:lang w:eastAsia="sk-SK"/>
              </w:rPr>
            </w:pPr>
            <w:r w:rsidRPr="00340C77">
              <w:rPr>
                <w:rFonts w:ascii="Times New Roman" w:eastAsia="Times New Roman" w:hAnsi="Times New Roman" w:cs="Times New Roman"/>
                <w:b/>
                <w:bCs/>
                <w:color w:val="000000"/>
                <w:lang w:eastAsia="sk-SK"/>
              </w:rPr>
              <w:t>muži</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450</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448</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442</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439</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430</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428</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433</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431</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422</w:t>
            </w:r>
          </w:p>
        </w:tc>
        <w:tc>
          <w:tcPr>
            <w:tcW w:w="794" w:type="dxa"/>
            <w:tcBorders>
              <w:top w:val="nil"/>
              <w:left w:val="nil"/>
              <w:bottom w:val="single" w:sz="4" w:space="0" w:color="auto"/>
              <w:right w:val="single" w:sz="4" w:space="0" w:color="auto"/>
            </w:tcBorders>
            <w:shd w:val="clear" w:color="auto" w:fill="auto"/>
            <w:noWrap/>
            <w:vAlign w:val="center"/>
            <w:hideMark/>
          </w:tcPr>
          <w:p w:rsidR="00340C77" w:rsidRPr="00340C77" w:rsidRDefault="00340C77" w:rsidP="00340C77">
            <w:pPr>
              <w:spacing w:after="0" w:line="240" w:lineRule="auto"/>
              <w:jc w:val="both"/>
              <w:rPr>
                <w:rFonts w:ascii="Times New Roman" w:eastAsia="Times New Roman" w:hAnsi="Times New Roman" w:cs="Times New Roman"/>
                <w:color w:val="000000"/>
                <w:lang w:eastAsia="sk-SK"/>
              </w:rPr>
            </w:pPr>
            <w:r w:rsidRPr="00340C77">
              <w:rPr>
                <w:rFonts w:ascii="Times New Roman" w:eastAsia="Times New Roman" w:hAnsi="Times New Roman" w:cs="Times New Roman"/>
                <w:color w:val="000000"/>
                <w:lang w:eastAsia="sk-SK"/>
              </w:rPr>
              <w:t>428</w:t>
            </w:r>
          </w:p>
        </w:tc>
      </w:tr>
    </w:tbl>
    <w:p w:rsidR="00340C77" w:rsidRDefault="00660053" w:rsidP="00C44752">
      <w:pPr>
        <w:spacing w:line="240" w:lineRule="auto"/>
        <w:jc w:val="both"/>
        <w:rPr>
          <w:rFonts w:ascii="Times New Roman" w:hAnsi="Times New Roman" w:cs="Times New Roman"/>
          <w:sz w:val="24"/>
        </w:rPr>
      </w:pPr>
      <w:r>
        <w:rPr>
          <w:rFonts w:ascii="Times New Roman" w:hAnsi="Times New Roman" w:cs="Times New Roman"/>
          <w:sz w:val="24"/>
        </w:rPr>
        <w:t>Zdroj: Tabuľka 4</w:t>
      </w:r>
    </w:p>
    <w:p w:rsidR="00660053" w:rsidRDefault="00660053" w:rsidP="00C44752">
      <w:pPr>
        <w:spacing w:line="240" w:lineRule="auto"/>
        <w:jc w:val="both"/>
        <w:rPr>
          <w:rFonts w:ascii="Times New Roman" w:hAnsi="Times New Roman" w:cs="Times New Roman"/>
          <w:sz w:val="24"/>
        </w:rPr>
      </w:pPr>
      <w:r>
        <w:rPr>
          <w:rFonts w:ascii="Times New Roman" w:hAnsi="Times New Roman" w:cs="Times New Roman"/>
          <w:sz w:val="24"/>
        </w:rPr>
        <w:t>Graf 4 – Obyvateľstvo podľa pohlavia</w:t>
      </w:r>
    </w:p>
    <w:p w:rsidR="00340C77" w:rsidRDefault="00340C77" w:rsidP="00C44752">
      <w:pPr>
        <w:spacing w:line="240" w:lineRule="auto"/>
        <w:jc w:val="both"/>
        <w:rPr>
          <w:rFonts w:ascii="Times New Roman" w:hAnsi="Times New Roman" w:cs="Times New Roman"/>
          <w:sz w:val="24"/>
        </w:rPr>
      </w:pPr>
      <w:r w:rsidRPr="00340C77">
        <w:rPr>
          <w:rFonts w:ascii="Times New Roman" w:hAnsi="Times New Roman" w:cs="Times New Roman"/>
          <w:noProof/>
          <w:sz w:val="24"/>
          <w:lang w:eastAsia="sk-SK"/>
        </w:rPr>
        <w:lastRenderedPageBreak/>
        <w:drawing>
          <wp:inline distT="0" distB="0" distL="0" distR="0">
            <wp:extent cx="5371816" cy="2743200"/>
            <wp:effectExtent l="19050" t="0" r="19334"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053" w:rsidRDefault="00660053" w:rsidP="00C44752">
      <w:pPr>
        <w:spacing w:line="240" w:lineRule="auto"/>
        <w:jc w:val="both"/>
        <w:rPr>
          <w:rFonts w:ascii="Times New Roman" w:hAnsi="Times New Roman" w:cs="Times New Roman"/>
          <w:sz w:val="24"/>
        </w:rPr>
      </w:pPr>
      <w:r>
        <w:rPr>
          <w:rFonts w:ascii="Times New Roman" w:hAnsi="Times New Roman" w:cs="Times New Roman"/>
          <w:sz w:val="24"/>
        </w:rPr>
        <w:t>Zdroj: Tabuľka 6</w:t>
      </w:r>
    </w:p>
    <w:p w:rsidR="00660053" w:rsidRPr="00340C77" w:rsidRDefault="00660053" w:rsidP="00C44752">
      <w:pPr>
        <w:spacing w:line="240" w:lineRule="auto"/>
        <w:jc w:val="both"/>
        <w:rPr>
          <w:rFonts w:ascii="Times New Roman" w:hAnsi="Times New Roman" w:cs="Times New Roman"/>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Demografické pohyby obyvateľstva</w:t>
      </w:r>
    </w:p>
    <w:p w:rsidR="007A5530" w:rsidRDefault="003E1A21" w:rsidP="00660053">
      <w:pPr>
        <w:spacing w:line="240" w:lineRule="auto"/>
        <w:jc w:val="both"/>
        <w:rPr>
          <w:rFonts w:ascii="Times New Roman" w:hAnsi="Times New Roman" w:cs="Times New Roman"/>
          <w:sz w:val="24"/>
        </w:rPr>
      </w:pPr>
      <w:r>
        <w:rPr>
          <w:rFonts w:ascii="Times New Roman" w:hAnsi="Times New Roman" w:cs="Times New Roman"/>
          <w:sz w:val="24"/>
        </w:rPr>
        <w:t xml:space="preserve">V obci Rastislavice </w:t>
      </w:r>
      <w:r w:rsidR="007A5530">
        <w:rPr>
          <w:rFonts w:ascii="Times New Roman" w:hAnsi="Times New Roman" w:cs="Times New Roman"/>
          <w:sz w:val="24"/>
        </w:rPr>
        <w:t>za posledných 10 rokov prevládal počet zomrelých nad počtom narodených detí. Demografické saldo sa pohybuje v záporných hodnotách každý rok okrem roku 2008, kedy bol rovnaký počet narodených ako zomrelých a okrem roku 2013, kedy sa narodilo 13 detí a zomrelo 7 ľudí, a tým demografickými zmenami pribudlo 6 obyvateľov. Najnižšie demografické saldo je zaznamenané v dvoch po sebe nasledujúcich rokoch 2011 a 2012, kedy sa počet obyvateľov demografickými zmenami znížil o 9 ľudí.</w:t>
      </w:r>
    </w:p>
    <w:p w:rsidR="00660053" w:rsidRDefault="003E1A21" w:rsidP="00660053">
      <w:pPr>
        <w:spacing w:line="240" w:lineRule="auto"/>
        <w:jc w:val="both"/>
        <w:rPr>
          <w:rFonts w:ascii="Times New Roman" w:hAnsi="Times New Roman" w:cs="Times New Roman"/>
          <w:sz w:val="24"/>
        </w:rPr>
      </w:pPr>
      <w:r w:rsidRPr="003E1A21">
        <w:rPr>
          <w:rFonts w:ascii="Times New Roman" w:hAnsi="Times New Roman" w:cs="Times New Roman"/>
          <w:sz w:val="24"/>
        </w:rPr>
        <w:t>Tabuľka 7 – Demografické pohyby obyvateľstva</w:t>
      </w:r>
    </w:p>
    <w:tbl>
      <w:tblPr>
        <w:tblW w:w="8900" w:type="dxa"/>
        <w:tblInd w:w="60" w:type="dxa"/>
        <w:tblCellMar>
          <w:left w:w="70" w:type="dxa"/>
          <w:right w:w="70" w:type="dxa"/>
        </w:tblCellMar>
        <w:tblLook w:val="04A0" w:firstRow="1" w:lastRow="0" w:firstColumn="1" w:lastColumn="0" w:noHBand="0" w:noVBand="1"/>
      </w:tblPr>
      <w:tblGrid>
        <w:gridCol w:w="960"/>
        <w:gridCol w:w="794"/>
        <w:gridCol w:w="794"/>
        <w:gridCol w:w="794"/>
        <w:gridCol w:w="794"/>
        <w:gridCol w:w="794"/>
        <w:gridCol w:w="794"/>
        <w:gridCol w:w="794"/>
        <w:gridCol w:w="794"/>
        <w:gridCol w:w="794"/>
        <w:gridCol w:w="794"/>
      </w:tblGrid>
      <w:tr w:rsidR="003E1A21" w:rsidRPr="003E1A21" w:rsidTr="003E1A21">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Rok</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2005</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2006</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2007</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2008</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2009</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2010</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2011</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2012</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2013</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b/>
                <w:bCs/>
                <w:color w:val="000000"/>
                <w:sz w:val="24"/>
                <w:szCs w:val="24"/>
                <w:lang w:eastAsia="sk-SK"/>
              </w:rPr>
            </w:pPr>
            <w:r w:rsidRPr="003E1A21">
              <w:rPr>
                <w:rFonts w:ascii="Times New Roman" w:eastAsia="Times New Roman" w:hAnsi="Times New Roman" w:cs="Times New Roman"/>
                <w:b/>
                <w:bCs/>
                <w:color w:val="000000"/>
                <w:sz w:val="24"/>
                <w:szCs w:val="24"/>
                <w:lang w:eastAsia="sk-SK"/>
              </w:rPr>
              <w:t>2014</w:t>
            </w:r>
          </w:p>
        </w:tc>
      </w:tr>
      <w:tr w:rsidR="003E1A21" w:rsidRPr="003E1A21" w:rsidTr="003E1A21">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rPr>
                <w:rFonts w:ascii="Times New Roman" w:eastAsia="Times New Roman" w:hAnsi="Times New Roman" w:cs="Times New Roman"/>
                <w:color w:val="000000"/>
                <w:sz w:val="24"/>
                <w:szCs w:val="24"/>
                <w:lang w:eastAsia="sk-SK"/>
              </w:rPr>
            </w:pPr>
            <w:proofErr w:type="spellStart"/>
            <w:r w:rsidRPr="003E1A21">
              <w:rPr>
                <w:rFonts w:ascii="Times New Roman" w:eastAsia="Times New Roman" w:hAnsi="Times New Roman" w:cs="Times New Roman"/>
                <w:color w:val="000000"/>
                <w:sz w:val="24"/>
                <w:szCs w:val="24"/>
                <w:lang w:eastAsia="sk-SK"/>
              </w:rPr>
              <w:t>Nar</w:t>
            </w:r>
            <w:proofErr w:type="spellEnd"/>
            <w:r w:rsidRPr="003E1A21">
              <w:rPr>
                <w:rFonts w:ascii="Times New Roman" w:eastAsia="Times New Roman" w:hAnsi="Times New Roman" w:cs="Times New Roman"/>
                <w:color w:val="000000"/>
                <w:sz w:val="24"/>
                <w:szCs w:val="24"/>
                <w:lang w:eastAsia="sk-SK"/>
              </w:rPr>
              <w:t>.</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6</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6</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11</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8</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5</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13</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7</w:t>
            </w:r>
          </w:p>
        </w:tc>
      </w:tr>
      <w:tr w:rsidR="003E1A21" w:rsidRPr="003E1A21" w:rsidTr="003E1A21">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rPr>
                <w:rFonts w:ascii="Times New Roman" w:eastAsia="Times New Roman" w:hAnsi="Times New Roman" w:cs="Times New Roman"/>
                <w:color w:val="000000"/>
                <w:sz w:val="24"/>
                <w:szCs w:val="24"/>
                <w:lang w:eastAsia="sk-SK"/>
              </w:rPr>
            </w:pPr>
            <w:proofErr w:type="spellStart"/>
            <w:r w:rsidRPr="003E1A21">
              <w:rPr>
                <w:rFonts w:ascii="Times New Roman" w:eastAsia="Times New Roman" w:hAnsi="Times New Roman" w:cs="Times New Roman"/>
                <w:color w:val="000000"/>
                <w:sz w:val="24"/>
                <w:szCs w:val="24"/>
                <w:lang w:eastAsia="sk-SK"/>
              </w:rPr>
              <w:t>Zomr</w:t>
            </w:r>
            <w:proofErr w:type="spellEnd"/>
            <w:r w:rsidRPr="003E1A21">
              <w:rPr>
                <w:rFonts w:ascii="Times New Roman" w:eastAsia="Times New Roman" w:hAnsi="Times New Roman" w:cs="Times New Roman"/>
                <w:color w:val="000000"/>
                <w:sz w:val="24"/>
                <w:szCs w:val="24"/>
                <w:lang w:eastAsia="sk-SK"/>
              </w:rPr>
              <w:t>.</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12</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11</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14</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15</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15</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17</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14</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7</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14</w:t>
            </w:r>
          </w:p>
        </w:tc>
      </w:tr>
      <w:tr w:rsidR="003E1A21" w:rsidRPr="003E1A21" w:rsidTr="003E1A21">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rPr>
                <w:rFonts w:ascii="Times New Roman" w:eastAsia="Times New Roman" w:hAnsi="Times New Roman" w:cs="Times New Roman"/>
                <w:color w:val="000000"/>
                <w:sz w:val="24"/>
                <w:szCs w:val="24"/>
                <w:lang w:eastAsia="sk-SK"/>
              </w:rPr>
            </w:pPr>
            <w:proofErr w:type="spellStart"/>
            <w:r w:rsidRPr="003E1A21">
              <w:rPr>
                <w:rFonts w:ascii="Times New Roman" w:eastAsia="Times New Roman" w:hAnsi="Times New Roman" w:cs="Times New Roman"/>
                <w:color w:val="000000"/>
                <w:sz w:val="24"/>
                <w:szCs w:val="24"/>
                <w:lang w:eastAsia="sk-SK"/>
              </w:rPr>
              <w:t>Dem</w:t>
            </w:r>
            <w:proofErr w:type="spellEnd"/>
            <w:r w:rsidRPr="003E1A21">
              <w:rPr>
                <w:rFonts w:ascii="Times New Roman" w:eastAsia="Times New Roman" w:hAnsi="Times New Roman" w:cs="Times New Roman"/>
                <w:color w:val="000000"/>
                <w:sz w:val="24"/>
                <w:szCs w:val="24"/>
                <w:lang w:eastAsia="sk-SK"/>
              </w:rPr>
              <w:t>. saldo</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-6</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-5</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-5</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0</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-6</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-4</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6</w:t>
            </w:r>
          </w:p>
        </w:tc>
        <w:tc>
          <w:tcPr>
            <w:tcW w:w="794" w:type="dxa"/>
            <w:tcBorders>
              <w:top w:val="nil"/>
              <w:left w:val="nil"/>
              <w:bottom w:val="single" w:sz="8" w:space="0" w:color="auto"/>
              <w:right w:val="single" w:sz="8" w:space="0" w:color="auto"/>
            </w:tcBorders>
            <w:shd w:val="clear" w:color="auto" w:fill="auto"/>
            <w:vAlign w:val="center"/>
            <w:hideMark/>
          </w:tcPr>
          <w:p w:rsidR="003E1A21" w:rsidRPr="003E1A21" w:rsidRDefault="003E1A21" w:rsidP="003E1A21">
            <w:pPr>
              <w:spacing w:after="0" w:line="240" w:lineRule="auto"/>
              <w:jc w:val="center"/>
              <w:rPr>
                <w:rFonts w:ascii="Times New Roman" w:eastAsia="Times New Roman" w:hAnsi="Times New Roman" w:cs="Times New Roman"/>
                <w:color w:val="000000"/>
                <w:sz w:val="24"/>
                <w:szCs w:val="24"/>
                <w:lang w:eastAsia="sk-SK"/>
              </w:rPr>
            </w:pPr>
            <w:r w:rsidRPr="003E1A21">
              <w:rPr>
                <w:rFonts w:ascii="Times New Roman" w:eastAsia="Times New Roman" w:hAnsi="Times New Roman" w:cs="Times New Roman"/>
                <w:color w:val="000000"/>
                <w:sz w:val="24"/>
                <w:szCs w:val="24"/>
                <w:lang w:eastAsia="sk-SK"/>
              </w:rPr>
              <w:t>-7</w:t>
            </w:r>
          </w:p>
        </w:tc>
      </w:tr>
    </w:tbl>
    <w:p w:rsidR="003E1A21" w:rsidRDefault="003E1A21" w:rsidP="00660053">
      <w:pPr>
        <w:spacing w:line="240" w:lineRule="auto"/>
        <w:jc w:val="both"/>
        <w:rPr>
          <w:rFonts w:ascii="Times New Roman" w:hAnsi="Times New Roman" w:cs="Times New Roman"/>
          <w:sz w:val="24"/>
        </w:rPr>
      </w:pPr>
      <w:r>
        <w:rPr>
          <w:rFonts w:ascii="Times New Roman" w:hAnsi="Times New Roman" w:cs="Times New Roman"/>
          <w:sz w:val="24"/>
        </w:rPr>
        <w:t xml:space="preserve">Zdroj: Štatistický úrad </w:t>
      </w:r>
      <w:r w:rsidR="007A5530">
        <w:rPr>
          <w:rFonts w:ascii="Times New Roman" w:hAnsi="Times New Roman" w:cs="Times New Roman"/>
          <w:sz w:val="24"/>
        </w:rPr>
        <w:t>SR</w:t>
      </w:r>
    </w:p>
    <w:p w:rsidR="007A5530" w:rsidRPr="003E1A21" w:rsidRDefault="007A5530" w:rsidP="00660053">
      <w:pPr>
        <w:spacing w:line="240" w:lineRule="auto"/>
        <w:jc w:val="both"/>
        <w:rPr>
          <w:rFonts w:ascii="Times New Roman" w:hAnsi="Times New Roman" w:cs="Times New Roman"/>
          <w:sz w:val="24"/>
        </w:rPr>
      </w:pPr>
      <w:r>
        <w:rPr>
          <w:rFonts w:ascii="Times New Roman" w:hAnsi="Times New Roman" w:cs="Times New Roman"/>
          <w:sz w:val="24"/>
        </w:rPr>
        <w:t>Graf 4 – Demografické pohyby obyvateľstva</w:t>
      </w:r>
    </w:p>
    <w:p w:rsidR="00660053" w:rsidRDefault="003E1A21" w:rsidP="00660053">
      <w:pPr>
        <w:spacing w:line="240" w:lineRule="auto"/>
        <w:jc w:val="both"/>
        <w:rPr>
          <w:rFonts w:ascii="Times New Roman" w:hAnsi="Times New Roman" w:cs="Times New Roman"/>
          <w:b/>
          <w:i/>
          <w:sz w:val="24"/>
        </w:rPr>
      </w:pPr>
      <w:r w:rsidRPr="003E1A21">
        <w:rPr>
          <w:rFonts w:ascii="Times New Roman" w:hAnsi="Times New Roman" w:cs="Times New Roman"/>
          <w:b/>
          <w:i/>
          <w:noProof/>
          <w:sz w:val="24"/>
          <w:lang w:eastAsia="sk-SK"/>
        </w:rPr>
        <w:lastRenderedPageBreak/>
        <w:drawing>
          <wp:inline distT="0" distB="0" distL="0" distR="0">
            <wp:extent cx="5366414" cy="2743200"/>
            <wp:effectExtent l="19050" t="0" r="24736" b="0"/>
            <wp:docPr id="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5530" w:rsidRDefault="007A5530" w:rsidP="00660053">
      <w:pPr>
        <w:spacing w:line="240" w:lineRule="auto"/>
        <w:jc w:val="both"/>
        <w:rPr>
          <w:rFonts w:ascii="Times New Roman" w:hAnsi="Times New Roman" w:cs="Times New Roman"/>
          <w:sz w:val="24"/>
        </w:rPr>
      </w:pPr>
      <w:r w:rsidRPr="007A5530">
        <w:rPr>
          <w:rFonts w:ascii="Times New Roman" w:hAnsi="Times New Roman" w:cs="Times New Roman"/>
          <w:sz w:val="24"/>
        </w:rPr>
        <w:t>Zdroj: Tabuľka 7</w:t>
      </w:r>
    </w:p>
    <w:p w:rsidR="007A5530" w:rsidRPr="007A5530" w:rsidRDefault="007A5530" w:rsidP="00660053">
      <w:pPr>
        <w:spacing w:line="240" w:lineRule="auto"/>
        <w:jc w:val="both"/>
        <w:rPr>
          <w:rFonts w:ascii="Times New Roman" w:hAnsi="Times New Roman" w:cs="Times New Roman"/>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Migrácia obyvateľstva</w:t>
      </w:r>
    </w:p>
    <w:p w:rsidR="007A5530" w:rsidRDefault="004D7606" w:rsidP="007A5530">
      <w:pPr>
        <w:spacing w:line="240" w:lineRule="auto"/>
        <w:jc w:val="both"/>
        <w:rPr>
          <w:rFonts w:ascii="Times New Roman" w:hAnsi="Times New Roman" w:cs="Times New Roman"/>
          <w:sz w:val="24"/>
        </w:rPr>
      </w:pPr>
      <w:r>
        <w:rPr>
          <w:rFonts w:ascii="Times New Roman" w:hAnsi="Times New Roman" w:cs="Times New Roman"/>
          <w:sz w:val="24"/>
        </w:rPr>
        <w:t>Migráciou obyvateľstva počet obyvateľov zväčša stúpalo. Negatívne migračné saldo bolo b rokoch 2007, 2009 a 2013. Najviac ľudí sa prisťahovalo do obce v rokoch 2008 a 2014. V roku 2014 sa prisťahovalo až 33 ľudí.</w:t>
      </w:r>
    </w:p>
    <w:p w:rsidR="004D7606" w:rsidRPr="007435D5" w:rsidRDefault="004D7606" w:rsidP="007A5530">
      <w:pPr>
        <w:spacing w:line="240" w:lineRule="auto"/>
        <w:jc w:val="both"/>
        <w:rPr>
          <w:rFonts w:ascii="Times New Roman" w:hAnsi="Times New Roman" w:cs="Times New Roman"/>
          <w:sz w:val="24"/>
        </w:rPr>
      </w:pPr>
      <w:r>
        <w:rPr>
          <w:rFonts w:ascii="Times New Roman" w:hAnsi="Times New Roman" w:cs="Times New Roman"/>
          <w:sz w:val="24"/>
        </w:rPr>
        <w:t xml:space="preserve">Tabuľka 8 – Migrácia </w:t>
      </w:r>
      <w:proofErr w:type="spellStart"/>
      <w:r>
        <w:rPr>
          <w:rFonts w:ascii="Times New Roman" w:hAnsi="Times New Roman" w:cs="Times New Roman"/>
          <w:sz w:val="24"/>
        </w:rPr>
        <w:t>obyvazteľstva</w:t>
      </w:r>
      <w:proofErr w:type="spellEnd"/>
    </w:p>
    <w:tbl>
      <w:tblPr>
        <w:tblW w:w="8923" w:type="dxa"/>
        <w:tblInd w:w="60" w:type="dxa"/>
        <w:tblCellMar>
          <w:left w:w="70" w:type="dxa"/>
          <w:right w:w="70" w:type="dxa"/>
        </w:tblCellMar>
        <w:tblLook w:val="04A0" w:firstRow="1" w:lastRow="0" w:firstColumn="1" w:lastColumn="0" w:noHBand="0" w:noVBand="1"/>
      </w:tblPr>
      <w:tblGrid>
        <w:gridCol w:w="983"/>
        <w:gridCol w:w="794"/>
        <w:gridCol w:w="794"/>
        <w:gridCol w:w="794"/>
        <w:gridCol w:w="794"/>
        <w:gridCol w:w="794"/>
        <w:gridCol w:w="794"/>
        <w:gridCol w:w="794"/>
        <w:gridCol w:w="794"/>
        <w:gridCol w:w="794"/>
        <w:gridCol w:w="794"/>
      </w:tblGrid>
      <w:tr w:rsidR="007435D5" w:rsidRPr="007435D5" w:rsidTr="007435D5">
        <w:trPr>
          <w:trHeight w:val="330"/>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Rok</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2005</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2006</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2007</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2008</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2009</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2010</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2011</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2012</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2013</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b/>
                <w:bCs/>
                <w:color w:val="000000"/>
                <w:szCs w:val="24"/>
                <w:lang w:eastAsia="sk-SK"/>
              </w:rPr>
            </w:pPr>
            <w:r w:rsidRPr="007435D5">
              <w:rPr>
                <w:rFonts w:ascii="Times New Roman" w:eastAsia="Times New Roman" w:hAnsi="Times New Roman" w:cs="Times New Roman"/>
                <w:b/>
                <w:bCs/>
                <w:color w:val="000000"/>
                <w:szCs w:val="24"/>
                <w:lang w:eastAsia="sk-SK"/>
              </w:rPr>
              <w:t>2014</w:t>
            </w:r>
          </w:p>
        </w:tc>
      </w:tr>
      <w:tr w:rsidR="007435D5" w:rsidRPr="007435D5" w:rsidTr="007435D5">
        <w:trPr>
          <w:trHeight w:val="33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rPr>
                <w:rFonts w:ascii="Times New Roman" w:eastAsia="Times New Roman" w:hAnsi="Times New Roman" w:cs="Times New Roman"/>
                <w:color w:val="000000"/>
                <w:szCs w:val="24"/>
                <w:lang w:eastAsia="sk-SK"/>
              </w:rPr>
            </w:pPr>
            <w:proofErr w:type="spellStart"/>
            <w:r w:rsidRPr="007435D5">
              <w:rPr>
                <w:rFonts w:ascii="Times New Roman" w:eastAsia="Times New Roman" w:hAnsi="Times New Roman" w:cs="Times New Roman"/>
                <w:color w:val="000000"/>
                <w:szCs w:val="24"/>
                <w:lang w:eastAsia="sk-SK"/>
              </w:rPr>
              <w:t>Prist</w:t>
            </w:r>
            <w:proofErr w:type="spellEnd"/>
            <w:r w:rsidRPr="007435D5">
              <w:rPr>
                <w:rFonts w:ascii="Times New Roman" w:eastAsia="Times New Roman" w:hAnsi="Times New Roman" w:cs="Times New Roman"/>
                <w:color w:val="000000"/>
                <w:szCs w:val="24"/>
                <w:lang w:eastAsia="sk-SK"/>
              </w:rPr>
              <w:t>.</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19</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9</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17</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25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14</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13</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4</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33</w:t>
            </w:r>
          </w:p>
        </w:tc>
      </w:tr>
      <w:tr w:rsidR="007435D5" w:rsidRPr="007435D5" w:rsidTr="007435D5">
        <w:trPr>
          <w:trHeight w:val="330"/>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rPr>
                <w:rFonts w:ascii="Times New Roman" w:eastAsia="Times New Roman" w:hAnsi="Times New Roman" w:cs="Times New Roman"/>
                <w:color w:val="000000"/>
                <w:szCs w:val="24"/>
                <w:lang w:eastAsia="sk-SK"/>
              </w:rPr>
            </w:pPr>
            <w:proofErr w:type="spellStart"/>
            <w:r w:rsidRPr="007435D5">
              <w:rPr>
                <w:rFonts w:ascii="Times New Roman" w:eastAsia="Times New Roman" w:hAnsi="Times New Roman" w:cs="Times New Roman"/>
                <w:color w:val="000000"/>
                <w:szCs w:val="24"/>
                <w:lang w:eastAsia="sk-SK"/>
              </w:rPr>
              <w:t>Vyst</w:t>
            </w:r>
            <w:proofErr w:type="spellEnd"/>
            <w:r w:rsidRPr="007435D5">
              <w:rPr>
                <w:rFonts w:ascii="Times New Roman" w:eastAsia="Times New Roman" w:hAnsi="Times New Roman" w:cs="Times New Roman"/>
                <w:color w:val="000000"/>
                <w:szCs w:val="24"/>
                <w:lang w:eastAsia="sk-SK"/>
              </w:rPr>
              <w:t>.</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17</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8</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22</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8</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18</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8</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14</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10</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19</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5</w:t>
            </w:r>
          </w:p>
        </w:tc>
      </w:tr>
      <w:tr w:rsidR="007435D5" w:rsidRPr="007435D5" w:rsidTr="007435D5">
        <w:trPr>
          <w:trHeight w:val="64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Migračné saldo</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2</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17</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-4</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-15</w:t>
            </w:r>
          </w:p>
        </w:tc>
        <w:tc>
          <w:tcPr>
            <w:tcW w:w="794" w:type="dxa"/>
            <w:tcBorders>
              <w:top w:val="nil"/>
              <w:left w:val="nil"/>
              <w:bottom w:val="single" w:sz="8" w:space="0" w:color="auto"/>
              <w:right w:val="single" w:sz="8" w:space="0" w:color="auto"/>
            </w:tcBorders>
            <w:shd w:val="clear" w:color="auto" w:fill="auto"/>
            <w:vAlign w:val="center"/>
            <w:hideMark/>
          </w:tcPr>
          <w:p w:rsidR="007435D5" w:rsidRPr="007435D5" w:rsidRDefault="007435D5" w:rsidP="007435D5">
            <w:pPr>
              <w:spacing w:after="0" w:line="240" w:lineRule="auto"/>
              <w:jc w:val="center"/>
              <w:rPr>
                <w:rFonts w:ascii="Times New Roman" w:eastAsia="Times New Roman" w:hAnsi="Times New Roman" w:cs="Times New Roman"/>
                <w:color w:val="000000"/>
                <w:szCs w:val="24"/>
                <w:lang w:eastAsia="sk-SK"/>
              </w:rPr>
            </w:pPr>
            <w:r w:rsidRPr="007435D5">
              <w:rPr>
                <w:rFonts w:ascii="Times New Roman" w:eastAsia="Times New Roman" w:hAnsi="Times New Roman" w:cs="Times New Roman"/>
                <w:color w:val="000000"/>
                <w:szCs w:val="24"/>
                <w:lang w:eastAsia="sk-SK"/>
              </w:rPr>
              <w:t>28</w:t>
            </w:r>
          </w:p>
        </w:tc>
      </w:tr>
    </w:tbl>
    <w:p w:rsidR="007435D5" w:rsidRDefault="004D7606" w:rsidP="007A5530">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4D7606" w:rsidRPr="004D7606" w:rsidRDefault="004D7606" w:rsidP="007A5530">
      <w:pPr>
        <w:spacing w:line="240" w:lineRule="auto"/>
        <w:jc w:val="both"/>
        <w:rPr>
          <w:rFonts w:ascii="Times New Roman" w:hAnsi="Times New Roman" w:cs="Times New Roman"/>
          <w:sz w:val="24"/>
        </w:rPr>
      </w:pPr>
      <w:r>
        <w:rPr>
          <w:rFonts w:ascii="Times New Roman" w:hAnsi="Times New Roman" w:cs="Times New Roman"/>
          <w:sz w:val="24"/>
        </w:rPr>
        <w:t>Graf 5 – Migrácia obyvateľstva</w:t>
      </w:r>
    </w:p>
    <w:p w:rsidR="007435D5" w:rsidRDefault="007435D5" w:rsidP="007A5530">
      <w:pPr>
        <w:spacing w:line="240" w:lineRule="auto"/>
        <w:jc w:val="both"/>
        <w:rPr>
          <w:rFonts w:ascii="Times New Roman" w:hAnsi="Times New Roman" w:cs="Times New Roman"/>
          <w:b/>
          <w:i/>
          <w:sz w:val="24"/>
        </w:rPr>
      </w:pPr>
      <w:r w:rsidRPr="007435D5">
        <w:rPr>
          <w:rFonts w:ascii="Times New Roman" w:hAnsi="Times New Roman" w:cs="Times New Roman"/>
          <w:b/>
          <w:i/>
          <w:noProof/>
          <w:sz w:val="24"/>
          <w:lang w:eastAsia="sk-SK"/>
        </w:rPr>
        <w:lastRenderedPageBreak/>
        <w:drawing>
          <wp:inline distT="0" distB="0" distL="0" distR="0">
            <wp:extent cx="5306786" cy="2748643"/>
            <wp:effectExtent l="19050" t="0" r="27214" b="0"/>
            <wp:docPr id="1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7606" w:rsidRDefault="004D7606" w:rsidP="007A5530">
      <w:pPr>
        <w:spacing w:line="240" w:lineRule="auto"/>
        <w:jc w:val="both"/>
        <w:rPr>
          <w:rFonts w:ascii="Times New Roman" w:hAnsi="Times New Roman" w:cs="Times New Roman"/>
          <w:sz w:val="24"/>
        </w:rPr>
      </w:pPr>
      <w:r w:rsidRPr="004D7606">
        <w:rPr>
          <w:rFonts w:ascii="Times New Roman" w:hAnsi="Times New Roman" w:cs="Times New Roman"/>
          <w:sz w:val="24"/>
        </w:rPr>
        <w:t>Zdroj: Tabuľka 8</w:t>
      </w:r>
    </w:p>
    <w:p w:rsidR="0001284F" w:rsidRDefault="0057594D" w:rsidP="007A5530">
      <w:pPr>
        <w:spacing w:line="240" w:lineRule="auto"/>
        <w:jc w:val="both"/>
        <w:rPr>
          <w:rFonts w:ascii="Times New Roman" w:hAnsi="Times New Roman" w:cs="Times New Roman"/>
          <w:sz w:val="24"/>
        </w:rPr>
      </w:pPr>
      <w:r>
        <w:rPr>
          <w:rFonts w:ascii="Times New Roman" w:hAnsi="Times New Roman" w:cs="Times New Roman"/>
          <w:sz w:val="24"/>
        </w:rPr>
        <w:t xml:space="preserve">V nasledujúcom grafe je znázornený celkový prírastok/úbytok obyvateľstva v obci Rastislavice zahŕňajúci demografické aj migračné saldo. Najväčší prírastok obyvateľstva bol v roku 2014, kedy pribudlo 21 obyvateľov, a v roku 2008, kedy pribudlo 7 obyvateľov. </w:t>
      </w:r>
      <w:r w:rsidR="0001284F">
        <w:rPr>
          <w:rFonts w:ascii="Times New Roman" w:hAnsi="Times New Roman" w:cs="Times New Roman"/>
          <w:sz w:val="24"/>
        </w:rPr>
        <w:t>Prírastok je zaznamenaný aj v roku 2010, ale iba s počtom 1 obyvateľa. V ostatných rokoch ide o celkový úbytok. Najväčší úbytok bol v rokoch 2007 a 2009 v počte 10 obyvateľov.</w:t>
      </w:r>
    </w:p>
    <w:p w:rsidR="004D7606" w:rsidRDefault="004D7606" w:rsidP="007A5530">
      <w:pPr>
        <w:spacing w:line="240" w:lineRule="auto"/>
        <w:jc w:val="both"/>
        <w:rPr>
          <w:rFonts w:ascii="Times New Roman" w:hAnsi="Times New Roman" w:cs="Times New Roman"/>
          <w:sz w:val="24"/>
        </w:rPr>
      </w:pPr>
      <w:r>
        <w:rPr>
          <w:rFonts w:ascii="Times New Roman" w:hAnsi="Times New Roman" w:cs="Times New Roman"/>
          <w:sz w:val="24"/>
        </w:rPr>
        <w:t>Tabuľka 9 – Demografické a migračné saldo, celkový prírastok/úbytok</w:t>
      </w:r>
      <w:r w:rsidR="0001284F">
        <w:rPr>
          <w:rFonts w:ascii="Times New Roman" w:hAnsi="Times New Roman" w:cs="Times New Roman"/>
          <w:sz w:val="24"/>
        </w:rPr>
        <w:t xml:space="preserve"> obyvateľstva</w:t>
      </w:r>
    </w:p>
    <w:tbl>
      <w:tblPr>
        <w:tblW w:w="8540" w:type="dxa"/>
        <w:tblInd w:w="65" w:type="dxa"/>
        <w:tblCellMar>
          <w:left w:w="70" w:type="dxa"/>
          <w:right w:w="70" w:type="dxa"/>
        </w:tblCellMar>
        <w:tblLook w:val="04A0" w:firstRow="1" w:lastRow="0" w:firstColumn="1" w:lastColumn="0" w:noHBand="0" w:noVBand="1"/>
      </w:tblPr>
      <w:tblGrid>
        <w:gridCol w:w="1740"/>
        <w:gridCol w:w="680"/>
        <w:gridCol w:w="680"/>
        <w:gridCol w:w="680"/>
        <w:gridCol w:w="680"/>
        <w:gridCol w:w="680"/>
        <w:gridCol w:w="680"/>
        <w:gridCol w:w="680"/>
        <w:gridCol w:w="680"/>
        <w:gridCol w:w="680"/>
        <w:gridCol w:w="680"/>
      </w:tblGrid>
      <w:tr w:rsidR="004D7606" w:rsidRPr="004D7606" w:rsidTr="004D7606">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Rok</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2006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2011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2012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2013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b/>
                <w:bCs/>
                <w:color w:val="000000"/>
                <w:sz w:val="24"/>
                <w:szCs w:val="24"/>
                <w:lang w:eastAsia="sk-SK"/>
              </w:rPr>
            </w:pPr>
            <w:r w:rsidRPr="004D7606">
              <w:rPr>
                <w:rFonts w:ascii="Times New Roman" w:eastAsia="Times New Roman" w:hAnsi="Times New Roman" w:cs="Times New Roman"/>
                <w:b/>
                <w:bCs/>
                <w:color w:val="000000"/>
                <w:sz w:val="24"/>
                <w:szCs w:val="24"/>
                <w:lang w:eastAsia="ar-SA"/>
              </w:rPr>
              <w:t>2014</w:t>
            </w:r>
          </w:p>
        </w:tc>
      </w:tr>
      <w:tr w:rsidR="004D7606" w:rsidRPr="004D7606" w:rsidTr="004D7606">
        <w:trPr>
          <w:trHeight w:val="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rPr>
                <w:rFonts w:ascii="Times New Roman" w:eastAsia="Times New Roman" w:hAnsi="Times New Roman" w:cs="Times New Roman"/>
                <w:color w:val="000000"/>
                <w:sz w:val="24"/>
                <w:szCs w:val="24"/>
                <w:lang w:eastAsia="sk-SK"/>
              </w:rPr>
            </w:pPr>
            <w:proofErr w:type="spellStart"/>
            <w:r w:rsidRPr="004D7606">
              <w:rPr>
                <w:rFonts w:ascii="Times New Roman" w:eastAsia="Times New Roman" w:hAnsi="Times New Roman" w:cs="Times New Roman"/>
                <w:color w:val="000000"/>
                <w:sz w:val="24"/>
                <w:szCs w:val="24"/>
                <w:lang w:eastAsia="ar-SA"/>
              </w:rPr>
              <w:t>Dem</w:t>
            </w:r>
            <w:proofErr w:type="spellEnd"/>
            <w:r w:rsidRPr="004D7606">
              <w:rPr>
                <w:rFonts w:ascii="Times New Roman" w:eastAsia="Times New Roman" w:hAnsi="Times New Roman" w:cs="Times New Roman"/>
                <w:color w:val="000000"/>
                <w:sz w:val="24"/>
                <w:szCs w:val="24"/>
                <w:lang w:eastAsia="ar-SA"/>
              </w:rPr>
              <w:t>. saldo</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-6</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-5</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-5</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0</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-6</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-4</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-9</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-9</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6</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w:t>
            </w:r>
            <w:r w:rsidR="0057594D">
              <w:rPr>
                <w:rFonts w:ascii="Times New Roman" w:eastAsia="Times New Roman" w:hAnsi="Times New Roman" w:cs="Times New Roman"/>
                <w:color w:val="000000"/>
                <w:sz w:val="24"/>
                <w:szCs w:val="24"/>
                <w:lang w:eastAsia="ar-SA"/>
              </w:rPr>
              <w:t>7</w:t>
            </w:r>
          </w:p>
        </w:tc>
      </w:tr>
      <w:tr w:rsidR="004D7606" w:rsidRPr="004D7606" w:rsidTr="004D7606">
        <w:trPr>
          <w:trHeight w:val="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rPr>
                <w:rFonts w:ascii="Times New Roman" w:eastAsia="Times New Roman" w:hAnsi="Times New Roman" w:cs="Times New Roman"/>
                <w:color w:val="000000"/>
                <w:sz w:val="24"/>
                <w:szCs w:val="24"/>
                <w:lang w:eastAsia="sk-SK"/>
              </w:rPr>
            </w:pPr>
            <w:proofErr w:type="spellStart"/>
            <w:r w:rsidRPr="004D7606">
              <w:rPr>
                <w:rFonts w:ascii="Times New Roman" w:eastAsia="Times New Roman" w:hAnsi="Times New Roman" w:cs="Times New Roman"/>
                <w:color w:val="000000"/>
                <w:sz w:val="24"/>
                <w:szCs w:val="24"/>
                <w:lang w:eastAsia="ar-SA"/>
              </w:rPr>
              <w:t>Mig</w:t>
            </w:r>
            <w:proofErr w:type="spellEnd"/>
            <w:r w:rsidRPr="004D7606">
              <w:rPr>
                <w:rFonts w:ascii="Times New Roman" w:eastAsia="Times New Roman" w:hAnsi="Times New Roman" w:cs="Times New Roman"/>
                <w:color w:val="000000"/>
                <w:sz w:val="24"/>
                <w:szCs w:val="24"/>
                <w:lang w:eastAsia="ar-SA"/>
              </w:rPr>
              <w:t>. saldo</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2</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-5</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17</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-4</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5</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5</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-15</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28</w:t>
            </w:r>
          </w:p>
        </w:tc>
      </w:tr>
      <w:tr w:rsidR="004D7606" w:rsidRPr="004D7606" w:rsidTr="004D7606">
        <w:trPr>
          <w:trHeight w:val="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Prírastok/úbytok</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-4</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-4</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-10</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17</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-10</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1</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-8</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-4</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-9</w:t>
            </w:r>
          </w:p>
        </w:tc>
        <w:tc>
          <w:tcPr>
            <w:tcW w:w="680" w:type="dxa"/>
            <w:tcBorders>
              <w:top w:val="nil"/>
              <w:left w:val="nil"/>
              <w:bottom w:val="single" w:sz="4" w:space="0" w:color="auto"/>
              <w:right w:val="single" w:sz="4" w:space="0" w:color="auto"/>
            </w:tcBorders>
            <w:shd w:val="clear" w:color="auto" w:fill="auto"/>
            <w:vAlign w:val="center"/>
            <w:hideMark/>
          </w:tcPr>
          <w:p w:rsidR="004D7606" w:rsidRPr="004D7606" w:rsidRDefault="004D7606" w:rsidP="004D7606">
            <w:pPr>
              <w:spacing w:after="0" w:line="240" w:lineRule="auto"/>
              <w:jc w:val="center"/>
              <w:rPr>
                <w:rFonts w:ascii="Times New Roman" w:eastAsia="Times New Roman" w:hAnsi="Times New Roman" w:cs="Times New Roman"/>
                <w:color w:val="000000"/>
                <w:sz w:val="24"/>
                <w:szCs w:val="24"/>
                <w:lang w:eastAsia="sk-SK"/>
              </w:rPr>
            </w:pPr>
            <w:r w:rsidRPr="004D7606">
              <w:rPr>
                <w:rFonts w:ascii="Times New Roman" w:eastAsia="Times New Roman" w:hAnsi="Times New Roman" w:cs="Times New Roman"/>
                <w:color w:val="000000"/>
                <w:sz w:val="24"/>
                <w:szCs w:val="24"/>
                <w:lang w:eastAsia="ar-SA"/>
              </w:rPr>
              <w:t>2</w:t>
            </w:r>
            <w:r w:rsidR="0057594D">
              <w:rPr>
                <w:rFonts w:ascii="Times New Roman" w:eastAsia="Times New Roman" w:hAnsi="Times New Roman" w:cs="Times New Roman"/>
                <w:color w:val="000000"/>
                <w:sz w:val="24"/>
                <w:szCs w:val="24"/>
                <w:lang w:eastAsia="ar-SA"/>
              </w:rPr>
              <w:t>1</w:t>
            </w:r>
          </w:p>
        </w:tc>
      </w:tr>
    </w:tbl>
    <w:p w:rsidR="004D7606" w:rsidRDefault="004D7606" w:rsidP="007A5530">
      <w:pPr>
        <w:spacing w:line="240" w:lineRule="auto"/>
        <w:jc w:val="both"/>
        <w:rPr>
          <w:rFonts w:ascii="Times New Roman" w:hAnsi="Times New Roman" w:cs="Times New Roman"/>
          <w:sz w:val="24"/>
        </w:rPr>
      </w:pPr>
      <w:r>
        <w:rPr>
          <w:rFonts w:ascii="Times New Roman" w:hAnsi="Times New Roman" w:cs="Times New Roman"/>
          <w:sz w:val="24"/>
        </w:rPr>
        <w:t xml:space="preserve">Zdroj: </w:t>
      </w:r>
      <w:r w:rsidR="0057594D">
        <w:rPr>
          <w:rFonts w:ascii="Times New Roman" w:hAnsi="Times New Roman" w:cs="Times New Roman"/>
          <w:sz w:val="24"/>
        </w:rPr>
        <w:t>Tabuľka 7, Tabuľka 8</w:t>
      </w:r>
    </w:p>
    <w:p w:rsidR="0001284F" w:rsidRDefault="0001284F" w:rsidP="007A5530">
      <w:pPr>
        <w:spacing w:line="240" w:lineRule="auto"/>
        <w:jc w:val="both"/>
        <w:rPr>
          <w:rFonts w:ascii="Times New Roman" w:hAnsi="Times New Roman" w:cs="Times New Roman"/>
          <w:sz w:val="24"/>
        </w:rPr>
      </w:pPr>
      <w:r>
        <w:rPr>
          <w:rFonts w:ascii="Times New Roman" w:hAnsi="Times New Roman" w:cs="Times New Roman"/>
          <w:sz w:val="24"/>
        </w:rPr>
        <w:t>Graf 6 – Celkový prírastok/úbytok obyvateľstva</w:t>
      </w:r>
    </w:p>
    <w:p w:rsidR="0057594D" w:rsidRDefault="0057594D" w:rsidP="007A5530">
      <w:pPr>
        <w:spacing w:line="240" w:lineRule="auto"/>
        <w:jc w:val="both"/>
        <w:rPr>
          <w:rFonts w:ascii="Times New Roman" w:hAnsi="Times New Roman" w:cs="Times New Roman"/>
          <w:sz w:val="24"/>
        </w:rPr>
      </w:pPr>
      <w:r w:rsidRPr="0057594D">
        <w:rPr>
          <w:rFonts w:ascii="Times New Roman" w:hAnsi="Times New Roman" w:cs="Times New Roman"/>
          <w:noProof/>
          <w:sz w:val="24"/>
          <w:lang w:eastAsia="sk-SK"/>
        </w:rPr>
        <w:drawing>
          <wp:inline distT="0" distB="0" distL="0" distR="0">
            <wp:extent cx="4572000" cy="2748643"/>
            <wp:effectExtent l="19050" t="0" r="19050" b="0"/>
            <wp:docPr id="11"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284F" w:rsidRDefault="0001284F" w:rsidP="007A5530">
      <w:pPr>
        <w:spacing w:line="240" w:lineRule="auto"/>
        <w:jc w:val="both"/>
        <w:rPr>
          <w:rFonts w:ascii="Times New Roman" w:hAnsi="Times New Roman" w:cs="Times New Roman"/>
          <w:sz w:val="24"/>
        </w:rPr>
      </w:pPr>
      <w:r>
        <w:rPr>
          <w:rFonts w:ascii="Times New Roman" w:hAnsi="Times New Roman" w:cs="Times New Roman"/>
          <w:sz w:val="24"/>
        </w:rPr>
        <w:lastRenderedPageBreak/>
        <w:t>Zdroj: Tabuľka 9</w:t>
      </w:r>
    </w:p>
    <w:p w:rsidR="0001284F" w:rsidRPr="004D7606" w:rsidRDefault="0001284F" w:rsidP="007A5530">
      <w:pPr>
        <w:spacing w:line="240" w:lineRule="auto"/>
        <w:jc w:val="both"/>
        <w:rPr>
          <w:rFonts w:ascii="Times New Roman" w:hAnsi="Times New Roman" w:cs="Times New Roman"/>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Zloženie obyvateľstva podľa vierovyznania</w:t>
      </w:r>
    </w:p>
    <w:p w:rsidR="00A349EC" w:rsidRPr="0001284F" w:rsidRDefault="0001284F" w:rsidP="00755047">
      <w:pPr>
        <w:spacing w:line="240" w:lineRule="auto"/>
        <w:jc w:val="both"/>
        <w:rPr>
          <w:rFonts w:ascii="Times New Roman" w:hAnsi="Times New Roman" w:cs="Times New Roman"/>
          <w:sz w:val="24"/>
        </w:rPr>
      </w:pPr>
      <w:r>
        <w:rPr>
          <w:rFonts w:ascii="Times New Roman" w:hAnsi="Times New Roman" w:cs="Times New Roman"/>
          <w:sz w:val="24"/>
        </w:rPr>
        <w:t>V obci Rastislavice s 86,8%-ným podielom prevláda Rímskokatolícka cirkev, ostatní obyvatelia vyznávajú vieru Evanjelickej cirkvi augsburského vyznania.</w:t>
      </w:r>
    </w:p>
    <w:p w:rsidR="00A349EC" w:rsidRPr="0001284F" w:rsidRDefault="00A349EC" w:rsidP="00755047">
      <w:pPr>
        <w:spacing w:line="240" w:lineRule="auto"/>
        <w:jc w:val="both"/>
        <w:rPr>
          <w:rFonts w:ascii="Times New Roman" w:hAnsi="Times New Roman" w:cs="Times New Roman"/>
          <w:sz w:val="24"/>
        </w:rPr>
      </w:pPr>
      <w:r w:rsidRPr="0001284F">
        <w:rPr>
          <w:rFonts w:ascii="Times New Roman" w:hAnsi="Times New Roman" w:cs="Times New Roman"/>
          <w:sz w:val="24"/>
        </w:rPr>
        <w:t xml:space="preserve">Tabuľka </w:t>
      </w:r>
      <w:r w:rsidR="00994AA9">
        <w:rPr>
          <w:rFonts w:ascii="Times New Roman" w:hAnsi="Times New Roman" w:cs="Times New Roman"/>
          <w:sz w:val="24"/>
        </w:rPr>
        <w:t>10</w:t>
      </w:r>
      <w:r w:rsidRPr="0001284F">
        <w:rPr>
          <w:rFonts w:ascii="Times New Roman" w:hAnsi="Times New Roman" w:cs="Times New Roman"/>
          <w:sz w:val="24"/>
        </w:rPr>
        <w:t xml:space="preserve"> – Štruktúra obyvateľov podľa vierovyznania</w:t>
      </w:r>
    </w:p>
    <w:tbl>
      <w:tblPr>
        <w:tblW w:w="6500" w:type="dxa"/>
        <w:tblCellMar>
          <w:left w:w="0" w:type="dxa"/>
          <w:right w:w="0" w:type="dxa"/>
        </w:tblCellMar>
        <w:tblLook w:val="0000" w:firstRow="0" w:lastRow="0" w:firstColumn="0" w:lastColumn="0" w:noHBand="0" w:noVBand="0"/>
      </w:tblPr>
      <w:tblGrid>
        <w:gridCol w:w="4580"/>
        <w:gridCol w:w="960"/>
        <w:gridCol w:w="960"/>
      </w:tblGrid>
      <w:tr w:rsidR="00A349EC" w:rsidRPr="00BA25A7" w:rsidTr="0001284F">
        <w:trPr>
          <w:trHeight w:hRule="exact" w:val="340"/>
        </w:trPr>
        <w:tc>
          <w:tcPr>
            <w:tcW w:w="4580" w:type="dxa"/>
            <w:tcBorders>
              <w:top w:val="single" w:sz="8" w:space="0" w:color="auto"/>
              <w:left w:val="single" w:sz="8" w:space="0" w:color="auto"/>
              <w:bottom w:val="single" w:sz="8"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b/>
                <w:bCs/>
                <w:sz w:val="24"/>
              </w:rPr>
            </w:pPr>
            <w:r w:rsidRPr="00BA25A7">
              <w:rPr>
                <w:rFonts w:ascii="Times New Roman" w:eastAsia="Calibri" w:hAnsi="Times New Roman" w:cs="Times New Roman"/>
                <w:b/>
                <w:bCs/>
                <w:sz w:val="24"/>
              </w:rPr>
              <w:t>Náboženské vyznanie /cirkev</w:t>
            </w:r>
          </w:p>
        </w:tc>
        <w:tc>
          <w:tcPr>
            <w:tcW w:w="9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b/>
                <w:bCs/>
                <w:sz w:val="24"/>
              </w:rPr>
            </w:pPr>
            <w:r w:rsidRPr="00BA25A7">
              <w:rPr>
                <w:rFonts w:ascii="Times New Roman" w:eastAsia="Calibri" w:hAnsi="Times New Roman" w:cs="Times New Roman"/>
                <w:b/>
                <w:bCs/>
                <w:sz w:val="24"/>
              </w:rPr>
              <w:t>Spolu</w:t>
            </w:r>
          </w:p>
        </w:tc>
        <w:tc>
          <w:tcPr>
            <w:tcW w:w="960" w:type="dxa"/>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b/>
                <w:bCs/>
                <w:sz w:val="24"/>
              </w:rPr>
            </w:pPr>
            <w:r w:rsidRPr="00BA25A7">
              <w:rPr>
                <w:rFonts w:ascii="Times New Roman" w:eastAsia="Calibri" w:hAnsi="Times New Roman" w:cs="Times New Roman"/>
                <w:b/>
                <w:bCs/>
                <w:sz w:val="24"/>
              </w:rPr>
              <w:t>%</w:t>
            </w: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Rímskokatolícka cirkev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r w:rsidRPr="00BA25A7">
              <w:rPr>
                <w:rFonts w:ascii="Times New Roman" w:eastAsia="Calibri" w:hAnsi="Times New Roman" w:cs="Times New Roman"/>
                <w:sz w:val="24"/>
              </w:rPr>
              <w:t>789</w:t>
            </w: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r w:rsidRPr="00BA25A7">
              <w:rPr>
                <w:rFonts w:ascii="Times New Roman" w:eastAsia="Calibri" w:hAnsi="Times New Roman" w:cs="Times New Roman"/>
                <w:sz w:val="24"/>
              </w:rPr>
              <w:t>86,8</w:t>
            </w: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Gréckokatolícka cirkev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Evanjelická cirkev augsburského vyznania</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r w:rsidRPr="00BA25A7">
              <w:rPr>
                <w:rFonts w:ascii="Times New Roman" w:eastAsia="Calibri" w:hAnsi="Times New Roman" w:cs="Times New Roman"/>
                <w:sz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r w:rsidRPr="00BA25A7">
              <w:rPr>
                <w:rFonts w:ascii="Times New Roman" w:eastAsia="Calibri" w:hAnsi="Times New Roman" w:cs="Times New Roman"/>
                <w:sz w:val="24"/>
              </w:rPr>
              <w:t>13,2</w:t>
            </w: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Reformovaná kresťanská cirkev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Evanjelická cirkev metodistická</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Cirkev československá husitská</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Náboženská spoločnosť Jehovovi svedkovia</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Ostatné</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Bez vyznania</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nil"/>
              <w:left w:val="single" w:sz="8" w:space="0" w:color="auto"/>
              <w:bottom w:val="nil"/>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sz w:val="24"/>
              </w:rPr>
            </w:pPr>
            <w:r w:rsidRPr="00BA25A7">
              <w:rPr>
                <w:rFonts w:ascii="Times New Roman" w:eastAsia="Calibri" w:hAnsi="Times New Roman" w:cs="Times New Roman"/>
                <w:sz w:val="24"/>
              </w:rPr>
              <w:t>Nezistené</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sz w:val="24"/>
              </w:rPr>
            </w:pPr>
          </w:p>
        </w:tc>
      </w:tr>
      <w:tr w:rsidR="00A349EC" w:rsidRPr="00BA25A7" w:rsidTr="0001284F">
        <w:trPr>
          <w:trHeight w:hRule="exact" w:val="340"/>
        </w:trPr>
        <w:tc>
          <w:tcPr>
            <w:tcW w:w="0" w:type="auto"/>
            <w:tcBorders>
              <w:top w:val="single" w:sz="8" w:space="0" w:color="auto"/>
              <w:left w:val="single" w:sz="8" w:space="0" w:color="auto"/>
              <w:bottom w:val="single" w:sz="8"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rPr>
                <w:rFonts w:ascii="Times New Roman" w:eastAsia="Calibri" w:hAnsi="Times New Roman" w:cs="Times New Roman"/>
                <w:b/>
                <w:bCs/>
                <w:sz w:val="24"/>
              </w:rPr>
            </w:pPr>
            <w:r w:rsidRPr="00BA25A7">
              <w:rPr>
                <w:rFonts w:ascii="Times New Roman" w:eastAsia="Calibri" w:hAnsi="Times New Roman" w:cs="Times New Roman"/>
                <w:b/>
                <w:bCs/>
                <w:sz w:val="24"/>
              </w:rPr>
              <w:t>Spolu</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A349EC" w:rsidRPr="00BA25A7" w:rsidRDefault="00A349EC" w:rsidP="0001284F">
            <w:pPr>
              <w:spacing w:line="240" w:lineRule="auto"/>
              <w:jc w:val="center"/>
              <w:rPr>
                <w:rFonts w:ascii="Times New Roman" w:eastAsia="Calibri" w:hAnsi="Times New Roman" w:cs="Times New Roman"/>
                <w:b/>
                <w:bCs/>
                <w:sz w:val="24"/>
              </w:rPr>
            </w:pPr>
            <w:r w:rsidRPr="00BA25A7">
              <w:rPr>
                <w:rFonts w:ascii="Times New Roman" w:eastAsia="Calibri" w:hAnsi="Times New Roman" w:cs="Times New Roman"/>
                <w:b/>
                <w:bCs/>
                <w:sz w:val="24"/>
              </w:rPr>
              <w:t>909</w:t>
            </w:r>
          </w:p>
        </w:tc>
        <w:tc>
          <w:tcPr>
            <w:tcW w:w="0" w:type="auto"/>
            <w:tcBorders>
              <w:top w:val="single" w:sz="4" w:space="0" w:color="auto"/>
              <w:left w:val="single" w:sz="4" w:space="0" w:color="auto"/>
              <w:bottom w:val="single" w:sz="4" w:space="0" w:color="auto"/>
              <w:right w:val="single" w:sz="4" w:space="0" w:color="auto"/>
            </w:tcBorders>
            <w:vAlign w:val="center"/>
          </w:tcPr>
          <w:p w:rsidR="00A349EC" w:rsidRPr="00BA25A7" w:rsidRDefault="00A349EC" w:rsidP="0001284F">
            <w:pPr>
              <w:spacing w:line="240" w:lineRule="auto"/>
              <w:jc w:val="center"/>
              <w:rPr>
                <w:rFonts w:ascii="Times New Roman" w:eastAsia="Calibri" w:hAnsi="Times New Roman" w:cs="Times New Roman"/>
                <w:b/>
                <w:bCs/>
                <w:sz w:val="24"/>
              </w:rPr>
            </w:pPr>
            <w:r w:rsidRPr="00BA25A7">
              <w:rPr>
                <w:rFonts w:ascii="Times New Roman" w:eastAsia="Calibri" w:hAnsi="Times New Roman" w:cs="Times New Roman"/>
                <w:b/>
                <w:bCs/>
                <w:sz w:val="24"/>
              </w:rPr>
              <w:t>100</w:t>
            </w:r>
          </w:p>
        </w:tc>
      </w:tr>
    </w:tbl>
    <w:p w:rsidR="00A349EC" w:rsidRDefault="00994AA9" w:rsidP="00755047">
      <w:pPr>
        <w:spacing w:line="240" w:lineRule="auto"/>
        <w:jc w:val="both"/>
        <w:rPr>
          <w:rFonts w:ascii="Times New Roman" w:hAnsi="Times New Roman" w:cs="Times New Roman"/>
          <w:sz w:val="24"/>
        </w:rPr>
      </w:pPr>
      <w:r>
        <w:rPr>
          <w:rFonts w:ascii="Times New Roman" w:hAnsi="Times New Roman" w:cs="Times New Roman"/>
          <w:sz w:val="24"/>
        </w:rPr>
        <w:t>Zdroj: Štatistický úrad SR (Sčítanie ľudu 2011)</w:t>
      </w:r>
    </w:p>
    <w:p w:rsidR="00994AA9" w:rsidRDefault="00994AA9" w:rsidP="00755047">
      <w:pPr>
        <w:spacing w:line="240" w:lineRule="auto"/>
        <w:jc w:val="both"/>
        <w:rPr>
          <w:rFonts w:ascii="Times New Roman" w:hAnsi="Times New Roman" w:cs="Times New Roman"/>
          <w:sz w:val="24"/>
        </w:rPr>
      </w:pPr>
      <w:r>
        <w:rPr>
          <w:rFonts w:ascii="Times New Roman" w:hAnsi="Times New Roman" w:cs="Times New Roman"/>
          <w:sz w:val="24"/>
        </w:rPr>
        <w:t xml:space="preserve">Graf 7 – Štruktúra </w:t>
      </w:r>
      <w:r w:rsidRPr="0001284F">
        <w:rPr>
          <w:rFonts w:ascii="Times New Roman" w:hAnsi="Times New Roman" w:cs="Times New Roman"/>
          <w:sz w:val="24"/>
        </w:rPr>
        <w:t>obyvateľov podľa vierovyznania</w:t>
      </w:r>
    </w:p>
    <w:p w:rsidR="00994AA9" w:rsidRDefault="00994AA9" w:rsidP="00755047">
      <w:pPr>
        <w:spacing w:line="240" w:lineRule="auto"/>
        <w:jc w:val="both"/>
        <w:rPr>
          <w:rFonts w:ascii="Times New Roman" w:hAnsi="Times New Roman" w:cs="Times New Roman"/>
          <w:sz w:val="24"/>
        </w:rPr>
      </w:pPr>
      <w:r w:rsidRPr="00994AA9">
        <w:rPr>
          <w:rFonts w:ascii="Times New Roman" w:hAnsi="Times New Roman" w:cs="Times New Roman"/>
          <w:noProof/>
          <w:sz w:val="24"/>
          <w:lang w:eastAsia="sk-SK"/>
        </w:rPr>
        <w:drawing>
          <wp:inline distT="0" distB="0" distL="0" distR="0">
            <wp:extent cx="5646964" cy="2748643"/>
            <wp:effectExtent l="19050" t="0" r="10886" b="0"/>
            <wp:docPr id="12"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4AA9" w:rsidRDefault="00994AA9" w:rsidP="00755047">
      <w:pPr>
        <w:spacing w:line="240" w:lineRule="auto"/>
        <w:jc w:val="both"/>
        <w:rPr>
          <w:rFonts w:ascii="Times New Roman" w:hAnsi="Times New Roman" w:cs="Times New Roman"/>
          <w:sz w:val="24"/>
        </w:rPr>
      </w:pPr>
      <w:r>
        <w:rPr>
          <w:rFonts w:ascii="Times New Roman" w:hAnsi="Times New Roman" w:cs="Times New Roman"/>
          <w:sz w:val="24"/>
        </w:rPr>
        <w:t>Zdroj: Tabuľka 10</w:t>
      </w:r>
    </w:p>
    <w:p w:rsidR="00994AA9" w:rsidRPr="00994AA9" w:rsidRDefault="00994AA9" w:rsidP="00755047">
      <w:pPr>
        <w:spacing w:line="240" w:lineRule="auto"/>
        <w:jc w:val="both"/>
        <w:rPr>
          <w:rFonts w:ascii="Times New Roman" w:hAnsi="Times New Roman" w:cs="Times New Roman"/>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Zloženie obyvateľstva podľa národnosti</w:t>
      </w:r>
    </w:p>
    <w:p w:rsidR="00A349EC" w:rsidRDefault="00994AA9" w:rsidP="00755047">
      <w:pPr>
        <w:spacing w:line="240" w:lineRule="auto"/>
        <w:jc w:val="both"/>
        <w:rPr>
          <w:rFonts w:ascii="Times New Roman" w:hAnsi="Times New Roman" w:cs="Times New Roman"/>
          <w:sz w:val="24"/>
        </w:rPr>
      </w:pPr>
      <w:r>
        <w:rPr>
          <w:rFonts w:ascii="Times New Roman" w:hAnsi="Times New Roman" w:cs="Times New Roman"/>
          <w:sz w:val="24"/>
        </w:rPr>
        <w:t>Z celkového počtu obyvateľov 909, 100% obyvateľov má slovenskú národnosť.</w:t>
      </w:r>
    </w:p>
    <w:p w:rsidR="00994AA9" w:rsidRPr="00994AA9" w:rsidRDefault="00994AA9" w:rsidP="00755047">
      <w:pPr>
        <w:spacing w:line="240" w:lineRule="auto"/>
        <w:jc w:val="both"/>
        <w:rPr>
          <w:rFonts w:ascii="Times New Roman" w:hAnsi="Times New Roman" w:cs="Times New Roman"/>
          <w:sz w:val="24"/>
        </w:rPr>
      </w:pPr>
      <w:r>
        <w:rPr>
          <w:rFonts w:ascii="Times New Roman" w:hAnsi="Times New Roman" w:cs="Times New Roman"/>
          <w:sz w:val="24"/>
        </w:rPr>
        <w:lastRenderedPageBreak/>
        <w:t>Tabuľka 11 – Štruktúra obyvateľstva podľa národnosti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641"/>
        <w:gridCol w:w="714"/>
        <w:gridCol w:w="607"/>
        <w:gridCol w:w="538"/>
        <w:gridCol w:w="710"/>
        <w:gridCol w:w="719"/>
        <w:gridCol w:w="718"/>
        <w:gridCol w:w="713"/>
        <w:gridCol w:w="535"/>
        <w:gridCol w:w="838"/>
      </w:tblGrid>
      <w:tr w:rsidR="00A349EC" w:rsidRPr="00BA25A7" w:rsidTr="00BA25A7">
        <w:trPr>
          <w:trHeight w:hRule="exact" w:val="340"/>
        </w:trPr>
        <w:tc>
          <w:tcPr>
            <w:tcW w:w="1913" w:type="dxa"/>
            <w:vMerge w:val="restart"/>
          </w:tcPr>
          <w:p w:rsidR="00A349EC" w:rsidRPr="00BA25A7" w:rsidRDefault="00A349EC" w:rsidP="00BA25A7">
            <w:pPr>
              <w:spacing w:line="240" w:lineRule="auto"/>
              <w:jc w:val="both"/>
              <w:rPr>
                <w:rFonts w:ascii="Times New Roman" w:eastAsia="Calibri" w:hAnsi="Times New Roman" w:cs="Times New Roman"/>
                <w:sz w:val="24"/>
                <w:szCs w:val="24"/>
              </w:rPr>
            </w:pPr>
            <w:r w:rsidRPr="00BA25A7">
              <w:rPr>
                <w:rFonts w:ascii="Times New Roman" w:eastAsia="Calibri" w:hAnsi="Times New Roman" w:cs="Times New Roman"/>
                <w:sz w:val="24"/>
                <w:szCs w:val="24"/>
              </w:rPr>
              <w:t>Trvale</w:t>
            </w:r>
            <w:r w:rsidR="00BA25A7" w:rsidRPr="00BA25A7">
              <w:rPr>
                <w:rFonts w:ascii="Times New Roman" w:eastAsia="Calibri" w:hAnsi="Times New Roman" w:cs="Times New Roman"/>
                <w:sz w:val="24"/>
                <w:szCs w:val="24"/>
              </w:rPr>
              <w:t xml:space="preserve"> b</w:t>
            </w:r>
            <w:r w:rsidRPr="00BA25A7">
              <w:rPr>
                <w:rFonts w:ascii="Times New Roman" w:eastAsia="Calibri" w:hAnsi="Times New Roman" w:cs="Times New Roman"/>
                <w:sz w:val="24"/>
                <w:szCs w:val="24"/>
              </w:rPr>
              <w:t>ývajúce</w:t>
            </w:r>
            <w:r w:rsidR="00BA25A7" w:rsidRPr="00BA25A7">
              <w:rPr>
                <w:rFonts w:ascii="Times New Roman" w:eastAsia="Calibri" w:hAnsi="Times New Roman" w:cs="Times New Roman"/>
                <w:sz w:val="24"/>
                <w:szCs w:val="24"/>
              </w:rPr>
              <w:t xml:space="preserve"> </w:t>
            </w:r>
            <w:r w:rsidRPr="00BA25A7">
              <w:rPr>
                <w:rFonts w:ascii="Times New Roman" w:eastAsia="Calibri" w:hAnsi="Times New Roman" w:cs="Times New Roman"/>
                <w:sz w:val="24"/>
                <w:szCs w:val="24"/>
              </w:rPr>
              <w:t>obyvateľstvo</w:t>
            </w:r>
          </w:p>
        </w:tc>
        <w:tc>
          <w:tcPr>
            <w:tcW w:w="6733" w:type="dxa"/>
            <w:gridSpan w:val="10"/>
          </w:tcPr>
          <w:p w:rsidR="00A349EC" w:rsidRPr="00BA25A7" w:rsidRDefault="00A349EC" w:rsidP="00755047">
            <w:pPr>
              <w:spacing w:line="240" w:lineRule="auto"/>
              <w:jc w:val="both"/>
              <w:rPr>
                <w:rFonts w:ascii="Times New Roman" w:eastAsia="Calibri" w:hAnsi="Times New Roman" w:cs="Times New Roman"/>
                <w:sz w:val="24"/>
                <w:szCs w:val="24"/>
              </w:rPr>
            </w:pPr>
            <w:r w:rsidRPr="00BA25A7">
              <w:rPr>
                <w:rFonts w:ascii="Times New Roman" w:eastAsia="Calibri" w:hAnsi="Times New Roman" w:cs="Times New Roman"/>
                <w:sz w:val="24"/>
                <w:szCs w:val="24"/>
              </w:rPr>
              <w:t>Z toho národnosť</w:t>
            </w:r>
          </w:p>
        </w:tc>
      </w:tr>
      <w:tr w:rsidR="00A349EC" w:rsidRPr="00BA25A7" w:rsidTr="00BA25A7">
        <w:trPr>
          <w:trHeight w:hRule="exact" w:val="340"/>
        </w:trPr>
        <w:tc>
          <w:tcPr>
            <w:tcW w:w="1913" w:type="dxa"/>
            <w:vMerge/>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641" w:type="dxa"/>
          </w:tcPr>
          <w:p w:rsidR="00A349EC" w:rsidRPr="00BA25A7" w:rsidRDefault="00A349EC" w:rsidP="00755047">
            <w:pPr>
              <w:spacing w:line="240" w:lineRule="auto"/>
              <w:jc w:val="both"/>
              <w:rPr>
                <w:rFonts w:ascii="Times New Roman" w:eastAsia="Calibri" w:hAnsi="Times New Roman" w:cs="Times New Roman"/>
                <w:sz w:val="24"/>
                <w:szCs w:val="24"/>
              </w:rPr>
            </w:pPr>
            <w:r w:rsidRPr="00BA25A7">
              <w:rPr>
                <w:rFonts w:ascii="Times New Roman" w:eastAsia="Calibri" w:hAnsi="Times New Roman" w:cs="Times New Roman"/>
                <w:sz w:val="24"/>
                <w:szCs w:val="24"/>
              </w:rPr>
              <w:t>Slov</w:t>
            </w:r>
          </w:p>
        </w:tc>
        <w:tc>
          <w:tcPr>
            <w:tcW w:w="714"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Maď</w:t>
            </w:r>
            <w:proofErr w:type="spellEnd"/>
          </w:p>
        </w:tc>
        <w:tc>
          <w:tcPr>
            <w:tcW w:w="607"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Rom</w:t>
            </w:r>
            <w:proofErr w:type="spellEnd"/>
          </w:p>
        </w:tc>
        <w:tc>
          <w:tcPr>
            <w:tcW w:w="538"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Čes</w:t>
            </w:r>
            <w:proofErr w:type="spellEnd"/>
          </w:p>
        </w:tc>
        <w:tc>
          <w:tcPr>
            <w:tcW w:w="710" w:type="dxa"/>
          </w:tcPr>
          <w:p w:rsidR="00A349EC" w:rsidRPr="00BA25A7" w:rsidRDefault="00A349EC" w:rsidP="00755047">
            <w:pPr>
              <w:spacing w:line="240" w:lineRule="auto"/>
              <w:jc w:val="both"/>
              <w:rPr>
                <w:rFonts w:ascii="Times New Roman" w:eastAsia="Calibri" w:hAnsi="Times New Roman" w:cs="Times New Roman"/>
                <w:sz w:val="24"/>
                <w:szCs w:val="24"/>
              </w:rPr>
            </w:pPr>
            <w:r w:rsidRPr="00BA25A7">
              <w:rPr>
                <w:rFonts w:ascii="Times New Roman" w:eastAsia="Calibri" w:hAnsi="Times New Roman" w:cs="Times New Roman"/>
                <w:sz w:val="24"/>
                <w:szCs w:val="24"/>
              </w:rPr>
              <w:t>Mor</w:t>
            </w:r>
          </w:p>
        </w:tc>
        <w:tc>
          <w:tcPr>
            <w:tcW w:w="719"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Rusín</w:t>
            </w:r>
            <w:proofErr w:type="spellEnd"/>
          </w:p>
        </w:tc>
        <w:tc>
          <w:tcPr>
            <w:tcW w:w="718"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Ukraj</w:t>
            </w:r>
            <w:proofErr w:type="spellEnd"/>
          </w:p>
        </w:tc>
        <w:tc>
          <w:tcPr>
            <w:tcW w:w="713"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Nem</w:t>
            </w:r>
            <w:proofErr w:type="spellEnd"/>
          </w:p>
        </w:tc>
        <w:tc>
          <w:tcPr>
            <w:tcW w:w="535" w:type="dxa"/>
          </w:tcPr>
          <w:p w:rsidR="00A349EC" w:rsidRPr="00BA25A7" w:rsidRDefault="00A349EC" w:rsidP="00755047">
            <w:pPr>
              <w:spacing w:line="240" w:lineRule="auto"/>
              <w:jc w:val="both"/>
              <w:rPr>
                <w:rFonts w:ascii="Times New Roman" w:eastAsia="Calibri" w:hAnsi="Times New Roman" w:cs="Times New Roman"/>
                <w:sz w:val="24"/>
                <w:szCs w:val="24"/>
              </w:rPr>
            </w:pPr>
            <w:r w:rsidRPr="00BA25A7">
              <w:rPr>
                <w:rFonts w:ascii="Times New Roman" w:eastAsia="Calibri" w:hAnsi="Times New Roman" w:cs="Times New Roman"/>
                <w:sz w:val="24"/>
                <w:szCs w:val="24"/>
              </w:rPr>
              <w:t>Pol</w:t>
            </w:r>
          </w:p>
        </w:tc>
        <w:tc>
          <w:tcPr>
            <w:tcW w:w="838" w:type="dxa"/>
          </w:tcPr>
          <w:p w:rsidR="00A349EC" w:rsidRPr="00BA25A7" w:rsidRDefault="00A349EC" w:rsidP="00755047">
            <w:pPr>
              <w:spacing w:line="240" w:lineRule="auto"/>
              <w:jc w:val="both"/>
              <w:rPr>
                <w:rFonts w:ascii="Times New Roman" w:eastAsia="Calibri" w:hAnsi="Times New Roman" w:cs="Times New Roman"/>
                <w:sz w:val="24"/>
                <w:szCs w:val="24"/>
              </w:rPr>
            </w:pPr>
            <w:proofErr w:type="spellStart"/>
            <w:r w:rsidRPr="00BA25A7">
              <w:rPr>
                <w:rFonts w:ascii="Times New Roman" w:eastAsia="Calibri" w:hAnsi="Times New Roman" w:cs="Times New Roman"/>
                <w:sz w:val="24"/>
                <w:szCs w:val="24"/>
              </w:rPr>
              <w:t>Chorv</w:t>
            </w:r>
            <w:proofErr w:type="spellEnd"/>
          </w:p>
        </w:tc>
      </w:tr>
      <w:tr w:rsidR="00A349EC" w:rsidRPr="00BA25A7" w:rsidTr="00BA25A7">
        <w:trPr>
          <w:trHeight w:hRule="exact" w:val="340"/>
        </w:trPr>
        <w:tc>
          <w:tcPr>
            <w:tcW w:w="1913"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641" w:type="dxa"/>
          </w:tcPr>
          <w:p w:rsidR="00A349EC" w:rsidRPr="00BA25A7" w:rsidRDefault="00A349EC" w:rsidP="00755047">
            <w:pPr>
              <w:spacing w:line="240" w:lineRule="auto"/>
              <w:jc w:val="both"/>
              <w:rPr>
                <w:rFonts w:ascii="Times New Roman" w:eastAsia="Calibri" w:hAnsi="Times New Roman" w:cs="Times New Roman"/>
                <w:sz w:val="24"/>
                <w:szCs w:val="24"/>
              </w:rPr>
            </w:pPr>
            <w:r w:rsidRPr="00BA25A7">
              <w:rPr>
                <w:rFonts w:ascii="Times New Roman" w:eastAsia="Calibri" w:hAnsi="Times New Roman" w:cs="Times New Roman"/>
                <w:sz w:val="24"/>
                <w:szCs w:val="24"/>
              </w:rPr>
              <w:t>909</w:t>
            </w:r>
          </w:p>
        </w:tc>
        <w:tc>
          <w:tcPr>
            <w:tcW w:w="714"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607"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538"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710"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719"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718"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713"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535" w:type="dxa"/>
          </w:tcPr>
          <w:p w:rsidR="00A349EC" w:rsidRPr="00BA25A7" w:rsidRDefault="00A349EC" w:rsidP="00755047">
            <w:pPr>
              <w:spacing w:line="240" w:lineRule="auto"/>
              <w:jc w:val="both"/>
              <w:rPr>
                <w:rFonts w:ascii="Times New Roman" w:eastAsia="Calibri" w:hAnsi="Times New Roman" w:cs="Times New Roman"/>
                <w:sz w:val="24"/>
                <w:szCs w:val="24"/>
              </w:rPr>
            </w:pPr>
          </w:p>
        </w:tc>
        <w:tc>
          <w:tcPr>
            <w:tcW w:w="838" w:type="dxa"/>
          </w:tcPr>
          <w:p w:rsidR="00A349EC" w:rsidRPr="00BA25A7" w:rsidRDefault="00A349EC" w:rsidP="00755047">
            <w:pPr>
              <w:spacing w:line="240" w:lineRule="auto"/>
              <w:jc w:val="both"/>
              <w:rPr>
                <w:rFonts w:ascii="Times New Roman" w:eastAsia="Calibri" w:hAnsi="Times New Roman" w:cs="Times New Roman"/>
                <w:sz w:val="24"/>
                <w:szCs w:val="24"/>
              </w:rPr>
            </w:pPr>
          </w:p>
        </w:tc>
      </w:tr>
    </w:tbl>
    <w:p w:rsidR="00A349EC" w:rsidRDefault="00994AA9" w:rsidP="00755047">
      <w:pPr>
        <w:spacing w:line="240" w:lineRule="auto"/>
        <w:jc w:val="both"/>
        <w:rPr>
          <w:rFonts w:ascii="Times New Roman" w:hAnsi="Times New Roman" w:cs="Times New Roman"/>
          <w:sz w:val="24"/>
        </w:rPr>
      </w:pPr>
      <w:r>
        <w:rPr>
          <w:rFonts w:ascii="Times New Roman" w:hAnsi="Times New Roman" w:cs="Times New Roman"/>
          <w:sz w:val="24"/>
        </w:rPr>
        <w:t>Zdroj: Štatistický úrad SR (Sčítanie ľudu 2011)</w:t>
      </w:r>
    </w:p>
    <w:p w:rsidR="00994AA9" w:rsidRPr="00994AA9" w:rsidRDefault="00994AA9" w:rsidP="00755047">
      <w:pPr>
        <w:spacing w:line="240" w:lineRule="auto"/>
        <w:jc w:val="both"/>
        <w:rPr>
          <w:rFonts w:ascii="Times New Roman" w:hAnsi="Times New Roman" w:cs="Times New Roman"/>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Zloženie obyvateľstva podľa vzdelania</w:t>
      </w:r>
    </w:p>
    <w:p w:rsidR="000A7231" w:rsidRPr="000A7231" w:rsidRDefault="000A7231" w:rsidP="000A7231">
      <w:pPr>
        <w:spacing w:line="240" w:lineRule="auto"/>
        <w:jc w:val="both"/>
        <w:rPr>
          <w:rFonts w:ascii="Times New Roman" w:hAnsi="Times New Roman" w:cs="Times New Roman"/>
          <w:sz w:val="24"/>
        </w:rPr>
      </w:pPr>
      <w:r w:rsidRPr="000A7231">
        <w:rPr>
          <w:rFonts w:ascii="Times New Roman" w:hAnsi="Times New Roman" w:cs="Times New Roman"/>
          <w:sz w:val="24"/>
        </w:rPr>
        <w:t>Vzdelanie – stupeň i druh je vyjadrením kvality populácie a je veľmi potrebným údajom pre zhodnotenie ľudského potenciálu územia. Rovnako ide o významné údaje pri posúdení trhu práce – hlavne jeho ponukovej zložky. Údaje v oblasti stupňa vzdelania sa získavajú zo sčítania ľudu.</w:t>
      </w:r>
    </w:p>
    <w:p w:rsidR="00A349EC" w:rsidRPr="000A7231" w:rsidRDefault="000A7231" w:rsidP="000A7231">
      <w:pPr>
        <w:spacing w:line="240" w:lineRule="auto"/>
        <w:jc w:val="both"/>
        <w:rPr>
          <w:rFonts w:ascii="Times New Roman" w:hAnsi="Times New Roman" w:cs="Times New Roman"/>
          <w:b/>
          <w:i/>
          <w:sz w:val="24"/>
        </w:rPr>
      </w:pPr>
      <w:r>
        <w:rPr>
          <w:rFonts w:ascii="Times New Roman" w:hAnsi="Times New Roman" w:cs="Times New Roman"/>
          <w:sz w:val="24"/>
        </w:rPr>
        <w:t>V tabuľke a n</w:t>
      </w:r>
      <w:r w:rsidRPr="000A7231">
        <w:rPr>
          <w:rFonts w:ascii="Times New Roman" w:hAnsi="Times New Roman" w:cs="Times New Roman"/>
          <w:sz w:val="24"/>
        </w:rPr>
        <w:t xml:space="preserve">a grafe je zobrazená vzdelanostná štruktúra obyvateľstva obce </w:t>
      </w:r>
      <w:r>
        <w:rPr>
          <w:rFonts w:ascii="Times New Roman" w:hAnsi="Times New Roman" w:cs="Times New Roman"/>
          <w:sz w:val="24"/>
        </w:rPr>
        <w:t>Rastislavice</w:t>
      </w:r>
      <w:r w:rsidRPr="000A7231">
        <w:rPr>
          <w:rFonts w:ascii="Times New Roman" w:hAnsi="Times New Roman" w:cs="Times New Roman"/>
          <w:sz w:val="24"/>
        </w:rPr>
        <w:t>. Z</w:t>
      </w:r>
      <w:r>
        <w:rPr>
          <w:rFonts w:ascii="Times New Roman" w:hAnsi="Times New Roman" w:cs="Times New Roman"/>
          <w:sz w:val="24"/>
        </w:rPr>
        <w:t> 909 obyvateľov 400 má ako najvyšší skončený stupeň školského vzdelania základnú školu. Je to 44% obyvateľstva obce. Druhú najväčšiu skupinu tvoria obyvatelia s ukončeným učňovským štúdiom bez maturity</w:t>
      </w:r>
      <w:r w:rsidR="00F36228">
        <w:rPr>
          <w:rFonts w:ascii="Times New Roman" w:hAnsi="Times New Roman" w:cs="Times New Roman"/>
          <w:sz w:val="24"/>
        </w:rPr>
        <w:t>, je ich 202, čo predstavuje 22,2%. Vysokoškolsky vzdelaných obyvateľov v obci je 50, z toho 20 z nich vyštudovalo ekonomické odbory a 30 poľnohospodárske. 16,2% obyvateľstva tvoria deti do 16 rokov. Je ich147.</w:t>
      </w:r>
    </w:p>
    <w:p w:rsidR="00A349EC" w:rsidRPr="00F36228" w:rsidRDefault="00A349EC" w:rsidP="00F36228">
      <w:pPr>
        <w:spacing w:line="240" w:lineRule="auto"/>
        <w:jc w:val="both"/>
        <w:rPr>
          <w:rFonts w:ascii="Times New Roman" w:hAnsi="Times New Roman" w:cs="Times New Roman"/>
          <w:sz w:val="24"/>
        </w:rPr>
      </w:pPr>
      <w:r w:rsidRPr="00F36228">
        <w:rPr>
          <w:rFonts w:ascii="Times New Roman" w:hAnsi="Times New Roman" w:cs="Times New Roman"/>
          <w:sz w:val="24"/>
        </w:rPr>
        <w:t xml:space="preserve">Tabuľka </w:t>
      </w:r>
      <w:r w:rsidR="00F36228">
        <w:rPr>
          <w:rFonts w:ascii="Times New Roman" w:hAnsi="Times New Roman" w:cs="Times New Roman"/>
          <w:sz w:val="24"/>
        </w:rPr>
        <w:t>12 - O</w:t>
      </w:r>
      <w:r w:rsidRPr="00F36228">
        <w:rPr>
          <w:rFonts w:ascii="Times New Roman" w:hAnsi="Times New Roman" w:cs="Times New Roman"/>
          <w:sz w:val="24"/>
        </w:rPr>
        <w:t>byvateľstvo podľa najvyššieho skončeného stupňa školského vzdelania</w:t>
      </w:r>
    </w:p>
    <w:tbl>
      <w:tblPr>
        <w:tblW w:w="7136" w:type="dxa"/>
        <w:tblInd w:w="60" w:type="dxa"/>
        <w:tblLayout w:type="fixed"/>
        <w:tblCellMar>
          <w:left w:w="70" w:type="dxa"/>
          <w:right w:w="70" w:type="dxa"/>
        </w:tblCellMar>
        <w:tblLook w:val="04A0" w:firstRow="1" w:lastRow="0" w:firstColumn="1" w:lastColumn="0" w:noHBand="0" w:noVBand="1"/>
      </w:tblPr>
      <w:tblGrid>
        <w:gridCol w:w="5113"/>
        <w:gridCol w:w="850"/>
        <w:gridCol w:w="1173"/>
      </w:tblGrid>
      <w:tr w:rsidR="000A7231" w:rsidRPr="000A7231" w:rsidTr="00F36228">
        <w:trPr>
          <w:trHeight w:val="340"/>
        </w:trPr>
        <w:tc>
          <w:tcPr>
            <w:tcW w:w="5113" w:type="dxa"/>
            <w:tcBorders>
              <w:top w:val="single" w:sz="8" w:space="0" w:color="auto"/>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b/>
                <w:bCs/>
                <w:color w:val="000000"/>
                <w:sz w:val="24"/>
                <w:szCs w:val="24"/>
                <w:lang w:eastAsia="sk-SK"/>
              </w:rPr>
            </w:pPr>
            <w:r w:rsidRPr="000A7231">
              <w:rPr>
                <w:rFonts w:ascii="Times New Roman" w:eastAsia="Calibri" w:hAnsi="Times New Roman" w:cs="Times New Roman"/>
                <w:b/>
                <w:bCs/>
                <w:color w:val="000000"/>
                <w:sz w:val="24"/>
                <w:szCs w:val="24"/>
                <w:lang w:eastAsia="sk-SK"/>
              </w:rPr>
              <w:t>Najvyšší skončený stupeň školského vzdelania</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b/>
                <w:bCs/>
                <w:color w:val="000000"/>
                <w:sz w:val="24"/>
                <w:szCs w:val="24"/>
                <w:lang w:eastAsia="sk-SK"/>
              </w:rPr>
            </w:pPr>
            <w:r w:rsidRPr="000A7231">
              <w:rPr>
                <w:rFonts w:ascii="Times New Roman" w:eastAsia="Calibri" w:hAnsi="Times New Roman" w:cs="Times New Roman"/>
                <w:b/>
                <w:bCs/>
                <w:color w:val="000000"/>
                <w:sz w:val="24"/>
                <w:szCs w:val="24"/>
                <w:lang w:eastAsia="sk-SK"/>
              </w:rPr>
              <w:t>Spolu</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b/>
                <w:bCs/>
                <w:color w:val="000000"/>
                <w:sz w:val="24"/>
                <w:szCs w:val="24"/>
                <w:lang w:eastAsia="sk-SK"/>
              </w:rPr>
            </w:pPr>
            <w:r w:rsidRPr="000A7231">
              <w:rPr>
                <w:rFonts w:ascii="Times New Roman" w:eastAsia="Calibri" w:hAnsi="Times New Roman" w:cs="Times New Roman"/>
                <w:b/>
                <w:bCs/>
                <w:color w:val="000000"/>
                <w:sz w:val="24"/>
                <w:szCs w:val="24"/>
                <w:lang w:eastAsia="sk-SK"/>
              </w:rPr>
              <w:t>%</w:t>
            </w: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Základné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400</w:t>
            </w: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44,0%</w:t>
            </w: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Učňovské (bez maturity)</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202</w:t>
            </w: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22,2%</w:t>
            </w: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Stredné odborné (s maturitou)</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Úplné stredné učňovské (s maturitou)</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Úplné stredné odborné (s maturitou)</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110</w:t>
            </w: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12,1%</w:t>
            </w: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Úplné stredné všeobecné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Vyššie</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Vysokoškolské bakalárske</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Vysokoškolské magisterské, inžinierske, doktorské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50</w:t>
            </w: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5,5%</w:t>
            </w: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Vysokoškolské doktorandské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Vysokoškolské spolu</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Vysokoškolské podľa zamerania:</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 univerzitné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 technické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 ekonomické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20</w:t>
            </w: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 poľnohospodárske</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30</w:t>
            </w: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 ostatné</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Ostatní bez udania školského vzdelania</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Ostatní bez školského vzdelania</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c>
          <w:tcPr>
            <w:tcW w:w="1173" w:type="dxa"/>
            <w:tcBorders>
              <w:top w:val="nil"/>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p>
        </w:tc>
      </w:tr>
      <w:tr w:rsidR="000A7231" w:rsidRPr="000A7231" w:rsidTr="00F36228">
        <w:trPr>
          <w:trHeight w:val="340"/>
        </w:trPr>
        <w:tc>
          <w:tcPr>
            <w:tcW w:w="5113" w:type="dxa"/>
            <w:tcBorders>
              <w:top w:val="nil"/>
              <w:left w:val="single" w:sz="8" w:space="0" w:color="auto"/>
              <w:bottom w:val="nil"/>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lastRenderedPageBreak/>
              <w:t>Deti do 16 rokov</w:t>
            </w:r>
          </w:p>
        </w:tc>
        <w:tc>
          <w:tcPr>
            <w:tcW w:w="850" w:type="dxa"/>
            <w:tcBorders>
              <w:top w:val="nil"/>
              <w:left w:val="single" w:sz="8" w:space="0" w:color="auto"/>
              <w:bottom w:val="nil"/>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147</w:t>
            </w:r>
          </w:p>
        </w:tc>
        <w:tc>
          <w:tcPr>
            <w:tcW w:w="1173" w:type="dxa"/>
            <w:tcBorders>
              <w:top w:val="nil"/>
              <w:left w:val="nil"/>
              <w:bottom w:val="nil"/>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color w:val="000000"/>
                <w:sz w:val="24"/>
                <w:szCs w:val="24"/>
                <w:lang w:eastAsia="sk-SK"/>
              </w:rPr>
            </w:pPr>
            <w:r w:rsidRPr="000A7231">
              <w:rPr>
                <w:rFonts w:ascii="Times New Roman" w:eastAsia="Calibri" w:hAnsi="Times New Roman" w:cs="Times New Roman"/>
                <w:color w:val="000000"/>
                <w:sz w:val="24"/>
                <w:szCs w:val="24"/>
                <w:lang w:eastAsia="sk-SK"/>
              </w:rPr>
              <w:t>16,2%</w:t>
            </w:r>
          </w:p>
        </w:tc>
      </w:tr>
      <w:tr w:rsidR="000A7231" w:rsidRPr="000A7231" w:rsidTr="00F36228">
        <w:trPr>
          <w:trHeight w:val="340"/>
        </w:trPr>
        <w:tc>
          <w:tcPr>
            <w:tcW w:w="5113" w:type="dxa"/>
            <w:tcBorders>
              <w:top w:val="single" w:sz="8" w:space="0" w:color="auto"/>
              <w:left w:val="single" w:sz="8" w:space="0" w:color="auto"/>
              <w:bottom w:val="single" w:sz="8" w:space="0" w:color="auto"/>
              <w:right w:val="nil"/>
            </w:tcBorders>
            <w:shd w:val="clear" w:color="auto" w:fill="auto"/>
            <w:noWrap/>
            <w:vAlign w:val="center"/>
            <w:hideMark/>
          </w:tcPr>
          <w:p w:rsidR="000A7231" w:rsidRPr="000A7231" w:rsidRDefault="000A7231" w:rsidP="000A7231">
            <w:pPr>
              <w:spacing w:after="0" w:line="240" w:lineRule="auto"/>
              <w:rPr>
                <w:rFonts w:ascii="Times New Roman" w:eastAsia="Times New Roman" w:hAnsi="Times New Roman" w:cs="Times New Roman"/>
                <w:b/>
                <w:bCs/>
                <w:color w:val="000000"/>
                <w:sz w:val="24"/>
                <w:szCs w:val="24"/>
                <w:lang w:eastAsia="sk-SK"/>
              </w:rPr>
            </w:pPr>
            <w:r w:rsidRPr="000A7231">
              <w:rPr>
                <w:rFonts w:ascii="Times New Roman" w:eastAsia="Calibri" w:hAnsi="Times New Roman" w:cs="Times New Roman"/>
                <w:b/>
                <w:bCs/>
                <w:color w:val="000000"/>
                <w:sz w:val="24"/>
                <w:szCs w:val="24"/>
                <w:lang w:eastAsia="sk-SK"/>
              </w:rPr>
              <w:t>Úhrn</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7231" w:rsidRPr="000A7231" w:rsidRDefault="000A7231" w:rsidP="000A7231">
            <w:pPr>
              <w:spacing w:after="0" w:line="240" w:lineRule="auto"/>
              <w:jc w:val="center"/>
              <w:rPr>
                <w:rFonts w:ascii="Times New Roman" w:eastAsia="Times New Roman" w:hAnsi="Times New Roman" w:cs="Times New Roman"/>
                <w:b/>
                <w:bCs/>
                <w:color w:val="000000"/>
                <w:sz w:val="24"/>
                <w:szCs w:val="24"/>
                <w:lang w:eastAsia="sk-SK"/>
              </w:rPr>
            </w:pPr>
            <w:r w:rsidRPr="000A7231">
              <w:rPr>
                <w:rFonts w:ascii="Times New Roman" w:eastAsia="Calibri" w:hAnsi="Times New Roman" w:cs="Times New Roman"/>
                <w:b/>
                <w:bCs/>
                <w:color w:val="000000"/>
                <w:sz w:val="24"/>
                <w:szCs w:val="24"/>
                <w:lang w:eastAsia="sk-SK"/>
              </w:rPr>
              <w:t>909</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0A7231" w:rsidRPr="000A7231" w:rsidRDefault="000A7231" w:rsidP="000A7231">
            <w:pPr>
              <w:spacing w:after="0" w:line="240" w:lineRule="auto"/>
              <w:jc w:val="center"/>
              <w:rPr>
                <w:rFonts w:ascii="Times New Roman" w:eastAsia="Times New Roman" w:hAnsi="Times New Roman" w:cs="Times New Roman"/>
                <w:b/>
                <w:bCs/>
                <w:color w:val="000000"/>
                <w:sz w:val="24"/>
                <w:szCs w:val="24"/>
                <w:lang w:eastAsia="sk-SK"/>
              </w:rPr>
            </w:pPr>
            <w:r w:rsidRPr="000A7231">
              <w:rPr>
                <w:rFonts w:ascii="Times New Roman" w:eastAsia="Calibri" w:hAnsi="Times New Roman" w:cs="Times New Roman"/>
                <w:b/>
                <w:bCs/>
                <w:color w:val="000000"/>
                <w:sz w:val="24"/>
                <w:szCs w:val="24"/>
                <w:lang w:eastAsia="sk-SK"/>
              </w:rPr>
              <w:t>100,0%</w:t>
            </w:r>
          </w:p>
        </w:tc>
      </w:tr>
    </w:tbl>
    <w:p w:rsidR="000A7231" w:rsidRDefault="00F36228" w:rsidP="00755047">
      <w:pPr>
        <w:pStyle w:val="Zkladntext"/>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Zdroj: Štatistický úrad SR (Sčítanie ľudu 2011)</w:t>
      </w:r>
    </w:p>
    <w:p w:rsidR="00F36228" w:rsidRDefault="00F36228" w:rsidP="00755047">
      <w:pPr>
        <w:pStyle w:val="Zkladntext"/>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Graf 8 – </w:t>
      </w:r>
      <w:r>
        <w:rPr>
          <w:rFonts w:ascii="Times New Roman" w:hAnsi="Times New Roman" w:cs="Times New Roman"/>
          <w:sz w:val="24"/>
        </w:rPr>
        <w:t>O</w:t>
      </w:r>
      <w:r w:rsidRPr="00F36228">
        <w:rPr>
          <w:rFonts w:ascii="Times New Roman" w:hAnsi="Times New Roman" w:cs="Times New Roman"/>
          <w:sz w:val="24"/>
        </w:rPr>
        <w:t>byvateľstvo podľa najvyššieho skončeného stupňa školského vzdelania</w:t>
      </w:r>
    </w:p>
    <w:p w:rsidR="000A7231" w:rsidRDefault="00F36228" w:rsidP="00755047">
      <w:pPr>
        <w:pStyle w:val="Zkladntext"/>
        <w:spacing w:line="240" w:lineRule="auto"/>
        <w:jc w:val="both"/>
        <w:rPr>
          <w:rFonts w:ascii="Calibri" w:eastAsia="Calibri" w:hAnsi="Calibri" w:cs="Times New Roman"/>
          <w:sz w:val="24"/>
          <w:szCs w:val="24"/>
        </w:rPr>
      </w:pPr>
      <w:r w:rsidRPr="00F36228">
        <w:rPr>
          <w:rFonts w:ascii="Calibri" w:eastAsia="Calibri" w:hAnsi="Calibri" w:cs="Times New Roman"/>
          <w:noProof/>
          <w:sz w:val="24"/>
          <w:szCs w:val="24"/>
          <w:lang w:eastAsia="sk-SK"/>
        </w:rPr>
        <w:drawing>
          <wp:inline distT="0" distB="0" distL="0" distR="0">
            <wp:extent cx="4572000" cy="2748643"/>
            <wp:effectExtent l="19050" t="0" r="19050" b="0"/>
            <wp:docPr id="13"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49EC" w:rsidRPr="00F36228" w:rsidRDefault="00F36228" w:rsidP="00F36228">
      <w:pPr>
        <w:pStyle w:val="Zkladntext"/>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Zdroj: Tabuľka 12</w:t>
      </w:r>
    </w:p>
    <w:p w:rsidR="00A349EC" w:rsidRDefault="00A349EC" w:rsidP="00755047">
      <w:pPr>
        <w:spacing w:line="240" w:lineRule="auto"/>
        <w:jc w:val="both"/>
        <w:rPr>
          <w:rFonts w:ascii="Times New Roman" w:hAnsi="Times New Roman" w:cs="Times New Roman"/>
          <w:b/>
          <w:i/>
          <w:sz w:val="24"/>
        </w:rPr>
      </w:pPr>
    </w:p>
    <w:p w:rsidR="00BC79FA" w:rsidRPr="00A349EC" w:rsidRDefault="00BC79FA" w:rsidP="00755047">
      <w:pPr>
        <w:spacing w:line="240" w:lineRule="auto"/>
        <w:jc w:val="both"/>
        <w:rPr>
          <w:rFonts w:ascii="Times New Roman" w:hAnsi="Times New Roman" w:cs="Times New Roman"/>
          <w:b/>
          <w:i/>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Štruktúra obyvateľstva podľa produktívnosti a ekonomickej aktivity</w:t>
      </w:r>
    </w:p>
    <w:p w:rsidR="00BC79FA" w:rsidRDefault="00BC79FA" w:rsidP="00BC79FA">
      <w:pPr>
        <w:spacing w:line="240" w:lineRule="auto"/>
        <w:jc w:val="both"/>
        <w:rPr>
          <w:rFonts w:ascii="Times New Roman" w:hAnsi="Times New Roman" w:cs="Times New Roman"/>
          <w:sz w:val="24"/>
          <w:szCs w:val="24"/>
        </w:rPr>
      </w:pPr>
      <w:r w:rsidRPr="003C3564">
        <w:rPr>
          <w:rFonts w:ascii="Times New Roman" w:hAnsi="Times New Roman" w:cs="Times New Roman"/>
          <w:sz w:val="24"/>
          <w:szCs w:val="24"/>
        </w:rPr>
        <w:t>Pre celkový všeobecný rozvoj obce je dôležité vekové zloženie obyvateľstva, najmä štruktúra obyvateľstva podľa produktívnosti. Tá je zložená z troch skupín: z predproduktívneho, produktívneho a poproduktívneho obyvateľstva. Najväčšiu skupinu v obci tvorí obyvateľstvo v produktívnom veku.</w:t>
      </w:r>
    </w:p>
    <w:p w:rsidR="00BC79FA" w:rsidRPr="003C3564" w:rsidRDefault="00BC79FA" w:rsidP="00BC79FA">
      <w:pPr>
        <w:spacing w:line="240" w:lineRule="auto"/>
        <w:jc w:val="both"/>
        <w:rPr>
          <w:rFonts w:ascii="Times New Roman" w:hAnsi="Times New Roman" w:cs="Times New Roman"/>
          <w:sz w:val="24"/>
          <w:szCs w:val="24"/>
        </w:rPr>
      </w:pPr>
      <w:r>
        <w:rPr>
          <w:rFonts w:ascii="Times New Roman" w:hAnsi="Times New Roman" w:cs="Times New Roman"/>
          <w:sz w:val="24"/>
          <w:szCs w:val="24"/>
        </w:rPr>
        <w:t>V obci Rastislavice prevláda v celom 10-ročnom slede obyvateľstvo v produktívnom veku, čiže vo veku od 15 do 62 rokov. Od roku 2006 má počet obyvateľov v predproduktívnom veku mierne stúpajúcu tendenciu. Do roku sa ich počet zvýšil o 14,2%. Obyvateľov v poproduktívnom veku, čiže vo veku od 62 rokov a vyššie, bolo najviac v rokoch 2009 a 2010 s počtom 188.</w:t>
      </w:r>
    </w:p>
    <w:p w:rsidR="00BC79FA" w:rsidRDefault="00BC79FA" w:rsidP="00BC79FA">
      <w:pPr>
        <w:spacing w:line="240" w:lineRule="auto"/>
        <w:jc w:val="both"/>
        <w:rPr>
          <w:rFonts w:ascii="Times New Roman" w:hAnsi="Times New Roman" w:cs="Times New Roman"/>
          <w:sz w:val="24"/>
          <w:szCs w:val="24"/>
        </w:rPr>
      </w:pPr>
      <w:r w:rsidRPr="003C3564">
        <w:rPr>
          <w:rFonts w:ascii="Times New Roman" w:hAnsi="Times New Roman" w:cs="Times New Roman"/>
          <w:sz w:val="24"/>
          <w:szCs w:val="24"/>
        </w:rPr>
        <w:t>Tabuľka</w:t>
      </w:r>
      <w:r>
        <w:rPr>
          <w:rFonts w:ascii="Times New Roman" w:hAnsi="Times New Roman" w:cs="Times New Roman"/>
          <w:sz w:val="24"/>
          <w:szCs w:val="24"/>
        </w:rPr>
        <w:t xml:space="preserve"> 13</w:t>
      </w:r>
      <w:r w:rsidRPr="003C3564">
        <w:rPr>
          <w:rFonts w:ascii="Times New Roman" w:hAnsi="Times New Roman" w:cs="Times New Roman"/>
          <w:sz w:val="24"/>
          <w:szCs w:val="24"/>
        </w:rPr>
        <w:t xml:space="preserve"> </w:t>
      </w:r>
      <w:r>
        <w:rPr>
          <w:rFonts w:ascii="Times New Roman" w:hAnsi="Times New Roman" w:cs="Times New Roman"/>
          <w:sz w:val="24"/>
          <w:szCs w:val="24"/>
        </w:rPr>
        <w:t>– Veková štruktúra obyvateľstva</w:t>
      </w:r>
    </w:p>
    <w:tbl>
      <w:tblPr>
        <w:tblW w:w="8905" w:type="dxa"/>
        <w:tblInd w:w="65" w:type="dxa"/>
        <w:tblLayout w:type="fixed"/>
        <w:tblCellMar>
          <w:left w:w="70" w:type="dxa"/>
          <w:right w:w="70" w:type="dxa"/>
        </w:tblCellMar>
        <w:tblLook w:val="04A0" w:firstRow="1" w:lastRow="0" w:firstColumn="1" w:lastColumn="0" w:noHBand="0" w:noVBand="1"/>
      </w:tblPr>
      <w:tblGrid>
        <w:gridCol w:w="2665"/>
        <w:gridCol w:w="624"/>
        <w:gridCol w:w="624"/>
        <w:gridCol w:w="624"/>
        <w:gridCol w:w="624"/>
        <w:gridCol w:w="624"/>
        <w:gridCol w:w="624"/>
        <w:gridCol w:w="624"/>
        <w:gridCol w:w="624"/>
        <w:gridCol w:w="624"/>
        <w:gridCol w:w="624"/>
      </w:tblGrid>
      <w:tr w:rsidR="00BC79FA" w:rsidRPr="003C3564" w:rsidTr="00D03AE4">
        <w:trPr>
          <w:trHeight w:val="283"/>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2005</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2006</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2007</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2008</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2009</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2010</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2011</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2012</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2013</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2014</w:t>
            </w:r>
          </w:p>
        </w:tc>
      </w:tr>
      <w:tr w:rsidR="00BC79FA" w:rsidRPr="003C3564" w:rsidTr="00D03AE4">
        <w:trPr>
          <w:trHeight w:val="283"/>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Predproduktívny vek 0-14</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117</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109</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109</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110</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115</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118</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119</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121</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122</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127</w:t>
            </w:r>
          </w:p>
        </w:tc>
      </w:tr>
      <w:tr w:rsidR="00BC79FA" w:rsidRPr="003C3564" w:rsidTr="00D03AE4">
        <w:trPr>
          <w:trHeight w:val="283"/>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Produktívny vek 15-62</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644</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644</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635</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641</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604</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602</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607</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601</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601</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619</w:t>
            </w:r>
          </w:p>
        </w:tc>
      </w:tr>
      <w:tr w:rsidR="00BC79FA" w:rsidRPr="003C3564" w:rsidTr="00D03AE4">
        <w:trPr>
          <w:trHeight w:val="283"/>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rPr>
                <w:rFonts w:ascii="Times New Roman" w:eastAsia="Times New Roman" w:hAnsi="Times New Roman" w:cs="Times New Roman"/>
                <w:b/>
                <w:bCs/>
                <w:color w:val="000000"/>
                <w:lang w:eastAsia="sk-SK"/>
              </w:rPr>
            </w:pPr>
            <w:r w:rsidRPr="003C3564">
              <w:rPr>
                <w:rFonts w:ascii="Times New Roman" w:eastAsia="Times New Roman" w:hAnsi="Times New Roman" w:cs="Times New Roman"/>
                <w:b/>
                <w:bCs/>
                <w:color w:val="000000"/>
                <w:lang w:eastAsia="sk-SK"/>
              </w:rPr>
              <w:t>Poproduktívny vek 62+</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152</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156</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156</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166</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188</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188</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174</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174</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165</w:t>
            </w:r>
          </w:p>
        </w:tc>
        <w:tc>
          <w:tcPr>
            <w:tcW w:w="624" w:type="dxa"/>
            <w:tcBorders>
              <w:top w:val="nil"/>
              <w:left w:val="nil"/>
              <w:bottom w:val="single" w:sz="4" w:space="0" w:color="auto"/>
              <w:right w:val="single" w:sz="4" w:space="0" w:color="auto"/>
            </w:tcBorders>
            <w:shd w:val="clear" w:color="auto" w:fill="auto"/>
            <w:noWrap/>
            <w:vAlign w:val="bottom"/>
            <w:hideMark/>
          </w:tcPr>
          <w:p w:rsidR="00BC79FA" w:rsidRPr="003C3564" w:rsidRDefault="00BC79FA" w:rsidP="00D03AE4">
            <w:pPr>
              <w:spacing w:after="0" w:line="240" w:lineRule="auto"/>
              <w:jc w:val="right"/>
              <w:rPr>
                <w:rFonts w:ascii="Times New Roman" w:eastAsia="Times New Roman" w:hAnsi="Times New Roman" w:cs="Times New Roman"/>
                <w:color w:val="000000"/>
                <w:lang w:eastAsia="sk-SK"/>
              </w:rPr>
            </w:pPr>
            <w:r w:rsidRPr="003C3564">
              <w:rPr>
                <w:rFonts w:ascii="Times New Roman" w:eastAsia="Times New Roman" w:hAnsi="Times New Roman" w:cs="Times New Roman"/>
                <w:color w:val="000000"/>
                <w:lang w:eastAsia="sk-SK"/>
              </w:rPr>
              <w:t>163</w:t>
            </w:r>
          </w:p>
        </w:tc>
      </w:tr>
    </w:tbl>
    <w:p w:rsidR="00BC79FA" w:rsidRDefault="00BC79FA" w:rsidP="00BC79FA">
      <w:pPr>
        <w:spacing w:line="240" w:lineRule="auto"/>
        <w:jc w:val="both"/>
        <w:rPr>
          <w:rFonts w:ascii="Times New Roman" w:hAnsi="Times New Roman" w:cs="Times New Roman"/>
          <w:sz w:val="24"/>
          <w:szCs w:val="24"/>
        </w:rPr>
      </w:pPr>
      <w:r>
        <w:rPr>
          <w:rFonts w:ascii="Times New Roman" w:hAnsi="Times New Roman" w:cs="Times New Roman"/>
          <w:sz w:val="24"/>
          <w:szCs w:val="24"/>
        </w:rPr>
        <w:t>Zdroj: Štatistický úrad SR</w:t>
      </w:r>
    </w:p>
    <w:p w:rsidR="00BC79FA" w:rsidRDefault="00BC79FA" w:rsidP="00BC79FA">
      <w:pPr>
        <w:spacing w:line="240" w:lineRule="auto"/>
        <w:jc w:val="both"/>
        <w:rPr>
          <w:rFonts w:ascii="Times New Roman" w:hAnsi="Times New Roman" w:cs="Times New Roman"/>
          <w:sz w:val="24"/>
          <w:szCs w:val="24"/>
        </w:rPr>
      </w:pPr>
      <w:r>
        <w:rPr>
          <w:rFonts w:ascii="Times New Roman" w:hAnsi="Times New Roman" w:cs="Times New Roman"/>
          <w:sz w:val="24"/>
          <w:szCs w:val="24"/>
        </w:rPr>
        <w:t>Graf 9 – Veková štruktúra obyvateľstva</w:t>
      </w:r>
    </w:p>
    <w:p w:rsidR="00BC79FA" w:rsidRDefault="00BC79FA" w:rsidP="00BC79FA">
      <w:pPr>
        <w:spacing w:line="240" w:lineRule="auto"/>
        <w:jc w:val="both"/>
        <w:rPr>
          <w:rFonts w:ascii="Times New Roman" w:hAnsi="Times New Roman" w:cs="Times New Roman"/>
          <w:sz w:val="24"/>
          <w:szCs w:val="24"/>
        </w:rPr>
      </w:pPr>
      <w:r w:rsidRPr="003C3564">
        <w:rPr>
          <w:rFonts w:ascii="Times New Roman" w:hAnsi="Times New Roman" w:cs="Times New Roman"/>
          <w:noProof/>
          <w:sz w:val="24"/>
          <w:szCs w:val="24"/>
          <w:lang w:eastAsia="sk-SK"/>
        </w:rPr>
        <w:lastRenderedPageBreak/>
        <w:drawing>
          <wp:inline distT="0" distB="0" distL="0" distR="0">
            <wp:extent cx="5760720" cy="2436945"/>
            <wp:effectExtent l="19050" t="0" r="11430" b="1455"/>
            <wp:docPr id="15"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79FA" w:rsidRDefault="00BC79FA" w:rsidP="00BC79FA">
      <w:pPr>
        <w:spacing w:line="240" w:lineRule="auto"/>
        <w:jc w:val="both"/>
        <w:rPr>
          <w:rFonts w:ascii="Times New Roman" w:hAnsi="Times New Roman" w:cs="Times New Roman"/>
          <w:sz w:val="24"/>
          <w:szCs w:val="24"/>
        </w:rPr>
      </w:pPr>
      <w:r>
        <w:rPr>
          <w:rFonts w:ascii="Times New Roman" w:hAnsi="Times New Roman" w:cs="Times New Roman"/>
          <w:sz w:val="24"/>
          <w:szCs w:val="24"/>
        </w:rPr>
        <w:t>Zdroj: Tabuľka 13</w:t>
      </w:r>
    </w:p>
    <w:p w:rsidR="003C3564" w:rsidRPr="003C3564" w:rsidRDefault="003C3564" w:rsidP="003C3564">
      <w:pPr>
        <w:spacing w:line="240" w:lineRule="auto"/>
        <w:jc w:val="both"/>
        <w:rPr>
          <w:rFonts w:ascii="Times New Roman" w:hAnsi="Times New Roman" w:cs="Times New Roman"/>
          <w:b/>
          <w:i/>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Ekonomicky aktívne obyvateľstvo</w:t>
      </w:r>
    </w:p>
    <w:p w:rsidR="00BC79FA" w:rsidRDefault="007C43A0" w:rsidP="003C3564">
      <w:pPr>
        <w:spacing w:line="240" w:lineRule="auto"/>
        <w:jc w:val="both"/>
        <w:rPr>
          <w:rFonts w:ascii="Times New Roman" w:hAnsi="Times New Roman" w:cs="Times New Roman"/>
          <w:sz w:val="24"/>
          <w:szCs w:val="24"/>
        </w:rPr>
      </w:pPr>
      <w:r>
        <w:rPr>
          <w:rFonts w:ascii="Times New Roman" w:hAnsi="Times New Roman" w:cs="Times New Roman"/>
          <w:sz w:val="24"/>
          <w:szCs w:val="24"/>
        </w:rPr>
        <w:t>Z celkového počtu obyvateľov, 431 sú ekonomicky aktívni, čo predstavuje 47,6%.</w:t>
      </w:r>
    </w:p>
    <w:p w:rsidR="007C43A0" w:rsidRDefault="007C43A0" w:rsidP="003C3564">
      <w:pPr>
        <w:spacing w:line="240" w:lineRule="auto"/>
        <w:jc w:val="both"/>
        <w:rPr>
          <w:rFonts w:ascii="Times New Roman" w:hAnsi="Times New Roman" w:cs="Times New Roman"/>
          <w:sz w:val="24"/>
          <w:szCs w:val="24"/>
        </w:rPr>
      </w:pPr>
      <w:r>
        <w:rPr>
          <w:rFonts w:ascii="Times New Roman" w:hAnsi="Times New Roman" w:cs="Times New Roman"/>
          <w:sz w:val="24"/>
          <w:szCs w:val="24"/>
        </w:rPr>
        <w:t>Graf 10 – Zloženie obyvateľov podľa ekonomickej aktivity</w:t>
      </w:r>
    </w:p>
    <w:p w:rsidR="00BC79FA" w:rsidRDefault="00BC79FA" w:rsidP="003C3564">
      <w:pPr>
        <w:spacing w:line="240" w:lineRule="auto"/>
        <w:jc w:val="both"/>
        <w:rPr>
          <w:rFonts w:ascii="Times New Roman" w:hAnsi="Times New Roman" w:cs="Times New Roman"/>
          <w:sz w:val="24"/>
          <w:szCs w:val="24"/>
        </w:rPr>
      </w:pPr>
      <w:r w:rsidRPr="00BC79FA">
        <w:rPr>
          <w:rFonts w:ascii="Times New Roman" w:hAnsi="Times New Roman" w:cs="Times New Roman"/>
          <w:noProof/>
          <w:sz w:val="24"/>
          <w:szCs w:val="24"/>
          <w:lang w:eastAsia="sk-SK"/>
        </w:rPr>
        <w:drawing>
          <wp:inline distT="0" distB="0" distL="0" distR="0">
            <wp:extent cx="5453702" cy="2729552"/>
            <wp:effectExtent l="19050" t="0" r="13648" b="0"/>
            <wp:docPr id="1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43A0" w:rsidRDefault="007C43A0" w:rsidP="003C3564">
      <w:pPr>
        <w:spacing w:line="240" w:lineRule="auto"/>
        <w:jc w:val="both"/>
        <w:rPr>
          <w:rFonts w:ascii="Times New Roman" w:hAnsi="Times New Roman" w:cs="Times New Roman"/>
          <w:sz w:val="24"/>
          <w:szCs w:val="24"/>
        </w:rPr>
      </w:pPr>
      <w:r>
        <w:rPr>
          <w:rFonts w:ascii="Times New Roman" w:hAnsi="Times New Roman" w:cs="Times New Roman"/>
          <w:sz w:val="24"/>
          <w:szCs w:val="24"/>
        </w:rPr>
        <w:t>Zdroj: Štatistický úrad SR</w:t>
      </w:r>
    </w:p>
    <w:p w:rsidR="007C43A0" w:rsidRDefault="007C43A0" w:rsidP="003C3564">
      <w:pPr>
        <w:spacing w:line="240" w:lineRule="auto"/>
        <w:jc w:val="both"/>
        <w:rPr>
          <w:rFonts w:ascii="Times New Roman" w:hAnsi="Times New Roman" w:cs="Times New Roman"/>
          <w:sz w:val="24"/>
        </w:rPr>
      </w:pPr>
      <w:r>
        <w:rPr>
          <w:rFonts w:ascii="Times New Roman" w:hAnsi="Times New Roman" w:cs="Times New Roman"/>
          <w:sz w:val="24"/>
        </w:rPr>
        <w:t>V nasledujúcom grafe s tabuľkou sa nachádza ekonomická aktivita obyvateľstva obce Rastislavice. Z 906 trvalo bývajúcich obyvateľov, najväčší podiel majú pracujúci s počtom 342</w:t>
      </w:r>
      <w:r w:rsidR="00D03AE4">
        <w:rPr>
          <w:rFonts w:ascii="Times New Roman" w:hAnsi="Times New Roman" w:cs="Times New Roman"/>
          <w:sz w:val="24"/>
        </w:rPr>
        <w:t>, 37,7% z celkového počtu trvalo bývajúcich obyvateľov.</w:t>
      </w:r>
      <w:r>
        <w:rPr>
          <w:rFonts w:ascii="Times New Roman" w:hAnsi="Times New Roman" w:cs="Times New Roman"/>
          <w:sz w:val="24"/>
        </w:rPr>
        <w:t xml:space="preserve"> Pracujúcich dôchodcov je 15</w:t>
      </w:r>
      <w:r w:rsidR="00D03AE4">
        <w:rPr>
          <w:rFonts w:ascii="Times New Roman" w:hAnsi="Times New Roman" w:cs="Times New Roman"/>
          <w:sz w:val="24"/>
        </w:rPr>
        <w:t>, čo je 7,1% z celkového počtu dôchodcov v obci. Nezamestnaní tvoria 7,6%-ný podiel.</w:t>
      </w:r>
    </w:p>
    <w:p w:rsidR="000E35EF" w:rsidRDefault="000E35EF" w:rsidP="003C3564">
      <w:pPr>
        <w:spacing w:line="240" w:lineRule="auto"/>
        <w:jc w:val="both"/>
        <w:rPr>
          <w:rFonts w:ascii="Times New Roman" w:hAnsi="Times New Roman" w:cs="Times New Roman"/>
          <w:sz w:val="24"/>
        </w:rPr>
      </w:pPr>
    </w:p>
    <w:p w:rsidR="000E35EF" w:rsidRDefault="000E35EF" w:rsidP="003C3564">
      <w:pPr>
        <w:spacing w:line="240" w:lineRule="auto"/>
        <w:jc w:val="both"/>
        <w:rPr>
          <w:rFonts w:ascii="Times New Roman" w:hAnsi="Times New Roman" w:cs="Times New Roman"/>
          <w:sz w:val="24"/>
        </w:rPr>
      </w:pPr>
    </w:p>
    <w:p w:rsidR="000E35EF" w:rsidRDefault="000E35EF" w:rsidP="003C3564">
      <w:pPr>
        <w:spacing w:line="240" w:lineRule="auto"/>
        <w:jc w:val="both"/>
        <w:rPr>
          <w:rFonts w:ascii="Times New Roman" w:hAnsi="Times New Roman" w:cs="Times New Roman"/>
          <w:sz w:val="24"/>
        </w:rPr>
      </w:pPr>
    </w:p>
    <w:p w:rsidR="00D03AE4" w:rsidRPr="003C3564" w:rsidRDefault="00D03AE4" w:rsidP="003C3564">
      <w:pPr>
        <w:spacing w:line="240" w:lineRule="auto"/>
        <w:jc w:val="both"/>
        <w:rPr>
          <w:rFonts w:ascii="Times New Roman" w:hAnsi="Times New Roman" w:cs="Times New Roman"/>
          <w:sz w:val="24"/>
          <w:szCs w:val="24"/>
        </w:rPr>
      </w:pPr>
      <w:r>
        <w:rPr>
          <w:rFonts w:ascii="Times New Roman" w:hAnsi="Times New Roman" w:cs="Times New Roman"/>
          <w:sz w:val="24"/>
        </w:rPr>
        <w:lastRenderedPageBreak/>
        <w:t>Tabuľka 14 – Ekonomicky aktívne obyvateľstvo</w:t>
      </w:r>
    </w:p>
    <w:tbl>
      <w:tblPr>
        <w:tblW w:w="4209" w:type="dxa"/>
        <w:tblInd w:w="65" w:type="dxa"/>
        <w:tblCellMar>
          <w:left w:w="70" w:type="dxa"/>
          <w:right w:w="70" w:type="dxa"/>
        </w:tblCellMar>
        <w:tblLook w:val="04A0" w:firstRow="1" w:lastRow="0" w:firstColumn="1" w:lastColumn="0" w:noHBand="0" w:noVBand="1"/>
      </w:tblPr>
      <w:tblGrid>
        <w:gridCol w:w="3549"/>
        <w:gridCol w:w="660"/>
      </w:tblGrid>
      <w:tr w:rsidR="009445AC" w:rsidRPr="007C43A0" w:rsidTr="009445AC">
        <w:trPr>
          <w:trHeight w:val="340"/>
        </w:trPr>
        <w:tc>
          <w:tcPr>
            <w:tcW w:w="4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5AC" w:rsidRPr="007C43A0" w:rsidRDefault="009445AC" w:rsidP="009445AC">
            <w:pPr>
              <w:spacing w:after="0" w:line="240" w:lineRule="auto"/>
              <w:jc w:val="center"/>
              <w:rPr>
                <w:rFonts w:ascii="Times New Roman" w:eastAsia="Times New Roman" w:hAnsi="Times New Roman" w:cs="Times New Roman"/>
                <w:b/>
                <w:color w:val="000000"/>
                <w:sz w:val="24"/>
                <w:lang w:eastAsia="sk-SK"/>
              </w:rPr>
            </w:pPr>
            <w:r w:rsidRPr="007C43A0">
              <w:rPr>
                <w:rFonts w:ascii="Times New Roman" w:eastAsia="Times New Roman" w:hAnsi="Times New Roman" w:cs="Times New Roman"/>
                <w:b/>
                <w:color w:val="000000"/>
                <w:sz w:val="24"/>
                <w:lang w:eastAsia="sk-SK"/>
              </w:rPr>
              <w:t>Ekonomická aktivita</w:t>
            </w:r>
          </w:p>
        </w:tc>
      </w:tr>
      <w:tr w:rsidR="009445AC" w:rsidRPr="008C586B" w:rsidTr="009445AC">
        <w:trPr>
          <w:trHeight w:val="340"/>
        </w:trPr>
        <w:tc>
          <w:tcPr>
            <w:tcW w:w="3549" w:type="dxa"/>
            <w:tcBorders>
              <w:top w:val="nil"/>
              <w:left w:val="single" w:sz="4" w:space="0" w:color="auto"/>
              <w:bottom w:val="nil"/>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Trvalo bývajúce obyvateľstvo spolu</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906</w:t>
            </w:r>
          </w:p>
        </w:tc>
      </w:tr>
      <w:tr w:rsidR="009445AC" w:rsidRPr="008C586B" w:rsidTr="009445AC">
        <w:trPr>
          <w:trHeight w:val="34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pracujúci (okrem dôchodcov)</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342</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pracujúci dôchodcovia</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15</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osoby na materskej dovolenke</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5</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osoby na rodičovskej dovolenke</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26</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nezamestnaní</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69</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študenti stredných škôl</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39</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študenti vysokých škôl</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19</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osoby v domácnosti</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9</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dôchodcovia</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212</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príjemcovia kapitálových príjmov</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0</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deti do 16 rokov</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137</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iná</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8</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nezistená</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25</w:t>
            </w:r>
          </w:p>
        </w:tc>
      </w:tr>
      <w:tr w:rsidR="009445AC" w:rsidRPr="008C586B" w:rsidTr="009445AC">
        <w:trPr>
          <w:trHeight w:val="34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9445AC" w:rsidRPr="008C586B" w:rsidRDefault="009445AC" w:rsidP="009445AC">
            <w:pPr>
              <w:spacing w:after="0" w:line="240" w:lineRule="auto"/>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z toho ekonomicky aktívni</w:t>
            </w:r>
          </w:p>
        </w:tc>
        <w:tc>
          <w:tcPr>
            <w:tcW w:w="660" w:type="dxa"/>
            <w:tcBorders>
              <w:top w:val="nil"/>
              <w:left w:val="nil"/>
              <w:bottom w:val="single" w:sz="4" w:space="0" w:color="auto"/>
              <w:right w:val="single" w:sz="4" w:space="0" w:color="auto"/>
            </w:tcBorders>
            <w:shd w:val="clear" w:color="auto" w:fill="auto"/>
            <w:noWrap/>
            <w:vAlign w:val="center"/>
            <w:hideMark/>
          </w:tcPr>
          <w:p w:rsidR="009445AC" w:rsidRPr="008C586B" w:rsidRDefault="009445AC" w:rsidP="009445AC">
            <w:pPr>
              <w:spacing w:after="0" w:line="240" w:lineRule="auto"/>
              <w:jc w:val="center"/>
              <w:rPr>
                <w:rFonts w:ascii="Times New Roman" w:eastAsia="Times New Roman" w:hAnsi="Times New Roman" w:cs="Times New Roman"/>
                <w:color w:val="000000"/>
                <w:sz w:val="24"/>
                <w:lang w:eastAsia="sk-SK"/>
              </w:rPr>
            </w:pPr>
            <w:r w:rsidRPr="008C586B">
              <w:rPr>
                <w:rFonts w:ascii="Times New Roman" w:eastAsia="Times New Roman" w:hAnsi="Times New Roman" w:cs="Times New Roman"/>
                <w:color w:val="000000"/>
                <w:sz w:val="24"/>
                <w:lang w:eastAsia="sk-SK"/>
              </w:rPr>
              <w:t>431</w:t>
            </w:r>
          </w:p>
        </w:tc>
      </w:tr>
    </w:tbl>
    <w:p w:rsidR="009445AC" w:rsidRDefault="00D03AE4" w:rsidP="00755047">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D03AE4" w:rsidRPr="00D03AE4" w:rsidRDefault="00D03AE4" w:rsidP="00755047">
      <w:pPr>
        <w:spacing w:line="240" w:lineRule="auto"/>
        <w:jc w:val="both"/>
        <w:rPr>
          <w:rFonts w:ascii="Times New Roman" w:hAnsi="Times New Roman" w:cs="Times New Roman"/>
          <w:sz w:val="24"/>
        </w:rPr>
      </w:pPr>
      <w:r>
        <w:rPr>
          <w:rFonts w:ascii="Times New Roman" w:hAnsi="Times New Roman" w:cs="Times New Roman"/>
          <w:sz w:val="24"/>
        </w:rPr>
        <w:t>Graf 11 – Ekonomicky aktívne obyvateľstvo v %</w:t>
      </w:r>
    </w:p>
    <w:p w:rsidR="007C43A0" w:rsidRDefault="007C43A0" w:rsidP="00755047">
      <w:pPr>
        <w:spacing w:line="240" w:lineRule="auto"/>
        <w:jc w:val="both"/>
        <w:rPr>
          <w:rFonts w:ascii="Times New Roman" w:hAnsi="Times New Roman" w:cs="Times New Roman"/>
          <w:b/>
          <w:i/>
          <w:sz w:val="24"/>
        </w:rPr>
      </w:pPr>
      <w:r w:rsidRPr="007C43A0">
        <w:rPr>
          <w:rFonts w:ascii="Times New Roman" w:hAnsi="Times New Roman" w:cs="Times New Roman"/>
          <w:b/>
          <w:i/>
          <w:noProof/>
          <w:sz w:val="24"/>
          <w:lang w:eastAsia="sk-SK"/>
        </w:rPr>
        <w:drawing>
          <wp:inline distT="0" distB="0" distL="0" distR="0">
            <wp:extent cx="5760720" cy="3050009"/>
            <wp:effectExtent l="19050" t="0" r="11430" b="0"/>
            <wp:docPr id="17"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45AC" w:rsidRDefault="00D03AE4" w:rsidP="00755047">
      <w:pPr>
        <w:spacing w:line="240" w:lineRule="auto"/>
        <w:jc w:val="both"/>
        <w:rPr>
          <w:rFonts w:ascii="Times New Roman" w:hAnsi="Times New Roman" w:cs="Times New Roman"/>
          <w:noProof/>
          <w:sz w:val="24"/>
          <w:lang w:eastAsia="sk-SK"/>
        </w:rPr>
      </w:pPr>
      <w:r>
        <w:rPr>
          <w:rFonts w:ascii="Times New Roman" w:hAnsi="Times New Roman" w:cs="Times New Roman"/>
          <w:noProof/>
          <w:sz w:val="24"/>
          <w:lang w:eastAsia="sk-SK"/>
        </w:rPr>
        <w:t>Zdroj: Tabuľka 14</w:t>
      </w:r>
    </w:p>
    <w:p w:rsidR="00EC2123" w:rsidRDefault="00EC2123" w:rsidP="00EC2123">
      <w:pPr>
        <w:spacing w:line="240" w:lineRule="auto"/>
        <w:jc w:val="both"/>
        <w:rPr>
          <w:rFonts w:ascii="Times New Roman" w:hAnsi="Times New Roman" w:cs="Times New Roman"/>
          <w:sz w:val="24"/>
        </w:rPr>
      </w:pPr>
      <w:r>
        <w:rPr>
          <w:rFonts w:ascii="Times New Roman" w:hAnsi="Times New Roman" w:cs="Times New Roman"/>
          <w:sz w:val="24"/>
        </w:rPr>
        <w:t>V nasledujúcom grafe s tabuľkou údajov je ekonomická aktivita obyvateľstva obce Rastislavice.</w:t>
      </w:r>
    </w:p>
    <w:p w:rsidR="00A349EC" w:rsidRPr="00EC2123" w:rsidRDefault="00A349EC" w:rsidP="00EC2123">
      <w:pPr>
        <w:spacing w:line="240" w:lineRule="auto"/>
        <w:jc w:val="both"/>
        <w:rPr>
          <w:rFonts w:ascii="Times New Roman" w:hAnsi="Times New Roman" w:cs="Times New Roman"/>
          <w:noProof/>
          <w:sz w:val="24"/>
          <w:lang w:eastAsia="sk-SK"/>
        </w:rPr>
      </w:pPr>
      <w:r w:rsidRPr="00EC2123">
        <w:rPr>
          <w:rFonts w:ascii="Times New Roman" w:hAnsi="Times New Roman" w:cs="Times New Roman"/>
          <w:noProof/>
          <w:sz w:val="24"/>
          <w:lang w:eastAsia="sk-SK"/>
        </w:rPr>
        <w:t xml:space="preserve">Tabuľka </w:t>
      </w:r>
      <w:r w:rsidR="00EC2123">
        <w:rPr>
          <w:rFonts w:ascii="Times New Roman" w:hAnsi="Times New Roman" w:cs="Times New Roman"/>
          <w:noProof/>
          <w:sz w:val="24"/>
          <w:lang w:eastAsia="sk-SK"/>
        </w:rPr>
        <w:t>15</w:t>
      </w:r>
      <w:r w:rsidRPr="00EC2123">
        <w:rPr>
          <w:rFonts w:ascii="Times New Roman" w:hAnsi="Times New Roman" w:cs="Times New Roman"/>
          <w:noProof/>
          <w:sz w:val="24"/>
          <w:lang w:eastAsia="sk-SK"/>
        </w:rPr>
        <w:t xml:space="preserve"> – Odvetvia hospodárstva, v ktorých pracujú obyvatelia obce</w:t>
      </w:r>
    </w:p>
    <w:tbl>
      <w:tblPr>
        <w:tblW w:w="7596" w:type="dxa"/>
        <w:tblLayout w:type="fixed"/>
        <w:tblCellMar>
          <w:left w:w="0" w:type="dxa"/>
          <w:right w:w="0" w:type="dxa"/>
        </w:tblCellMar>
        <w:tblLook w:val="0000" w:firstRow="0" w:lastRow="0" w:firstColumn="0" w:lastColumn="0" w:noHBand="0" w:noVBand="0"/>
      </w:tblPr>
      <w:tblGrid>
        <w:gridCol w:w="5896"/>
        <w:gridCol w:w="850"/>
        <w:gridCol w:w="850"/>
      </w:tblGrid>
      <w:tr w:rsidR="00EC2123" w:rsidRPr="00EC2123" w:rsidTr="00EC2123">
        <w:trPr>
          <w:trHeight w:val="454"/>
        </w:trPr>
        <w:tc>
          <w:tcPr>
            <w:tcW w:w="589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b/>
                <w:bCs/>
                <w:sz w:val="24"/>
                <w:szCs w:val="24"/>
              </w:rPr>
            </w:pPr>
            <w:r w:rsidRPr="00EC2123">
              <w:rPr>
                <w:rFonts w:ascii="Times New Roman" w:eastAsia="Calibri" w:hAnsi="Times New Roman" w:cs="Times New Roman"/>
                <w:b/>
                <w:bCs/>
                <w:sz w:val="24"/>
                <w:szCs w:val="24"/>
              </w:rPr>
              <w:lastRenderedPageBreak/>
              <w:t>Odvetvie hospodárstva</w:t>
            </w:r>
          </w:p>
        </w:tc>
        <w:tc>
          <w:tcPr>
            <w:tcW w:w="85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b/>
                <w:bCs/>
                <w:sz w:val="24"/>
                <w:szCs w:val="24"/>
              </w:rPr>
            </w:pPr>
            <w:r w:rsidRPr="00EC2123">
              <w:rPr>
                <w:rFonts w:ascii="Times New Roman" w:eastAsia="Calibri" w:hAnsi="Times New Roman" w:cs="Times New Roman"/>
                <w:b/>
                <w:bCs/>
                <w:sz w:val="24"/>
                <w:szCs w:val="24"/>
              </w:rPr>
              <w:t>Spolu</w:t>
            </w:r>
          </w:p>
        </w:tc>
        <w:tc>
          <w:tcPr>
            <w:tcW w:w="850" w:type="dxa"/>
            <w:tcBorders>
              <w:top w:val="single" w:sz="8" w:space="0" w:color="auto"/>
              <w:left w:val="nil"/>
              <w:bottom w:val="single" w:sz="8"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b/>
                <w:bCs/>
                <w:sz w:val="24"/>
                <w:szCs w:val="24"/>
              </w:rPr>
            </w:pPr>
            <w:r w:rsidRPr="00EC2123">
              <w:rPr>
                <w:rFonts w:ascii="Times New Roman" w:eastAsia="Calibri" w:hAnsi="Times New Roman" w:cs="Times New Roman"/>
                <w:b/>
                <w:bCs/>
                <w:sz w:val="24"/>
                <w:szCs w:val="24"/>
              </w:rPr>
              <w:t>v %</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Poľnohospodárstvo, poľovníctvo a súvisiace služby</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30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6,5</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Lesníctvo, ťažba dreva a pridružené služby</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Ťažba nerastných surovín</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Priemyselná výroba</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70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15,2</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Výroba a rozvod elektriny, plynu a vody</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4,3</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Stavebníctvo</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100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21,6</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Veľkoobchod a maloobchod</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100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21,6</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Hotely a reštaurácie</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4,3</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Doprava, skladovanie a spoje</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4,3</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Peňažníctvo a poisťovníctvo</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Nehnuteľnosti, prenajímanie a obchodné služby</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Verejná správa a obrana, povinné sociálne zabezpečenie</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4,3</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Školstvo</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20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4,3</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Zdravotníctvo a sociálna starostlivosť</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30</w:t>
            </w: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6,5</w:t>
            </w:r>
          </w:p>
        </w:tc>
      </w:tr>
      <w:tr w:rsidR="00EC2123" w:rsidRPr="00EC2123" w:rsidTr="00EC2123">
        <w:trPr>
          <w:trHeight w:val="454"/>
        </w:trPr>
        <w:tc>
          <w:tcPr>
            <w:tcW w:w="5896" w:type="dxa"/>
            <w:tcBorders>
              <w:top w:val="nil"/>
              <w:left w:val="single" w:sz="8" w:space="0" w:color="auto"/>
              <w:bottom w:val="single" w:sz="4" w:space="0" w:color="auto"/>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Ostatné verejné, sociálne a osobné služby</w:t>
            </w:r>
          </w:p>
        </w:tc>
        <w:tc>
          <w:tcPr>
            <w:tcW w:w="850" w:type="dxa"/>
            <w:tcBorders>
              <w:top w:val="nil"/>
              <w:left w:val="single" w:sz="8" w:space="0" w:color="auto"/>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c>
          <w:tcPr>
            <w:tcW w:w="850" w:type="dxa"/>
            <w:tcBorders>
              <w:top w:val="nil"/>
              <w:left w:val="nil"/>
              <w:bottom w:val="single" w:sz="4"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p>
        </w:tc>
      </w:tr>
      <w:tr w:rsidR="00EC2123" w:rsidRPr="00EC2123" w:rsidTr="00EC2123">
        <w:trPr>
          <w:trHeight w:val="454"/>
        </w:trPr>
        <w:tc>
          <w:tcPr>
            <w:tcW w:w="5896" w:type="dxa"/>
            <w:tcBorders>
              <w:top w:val="nil"/>
              <w:left w:val="single" w:sz="8" w:space="0" w:color="auto"/>
              <w:bottom w:val="nil"/>
              <w:right w:val="nil"/>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EA bez udania odvetví</w:t>
            </w:r>
          </w:p>
        </w:tc>
        <w:tc>
          <w:tcPr>
            <w:tcW w:w="850" w:type="dxa"/>
            <w:tcBorders>
              <w:top w:val="nil"/>
              <w:left w:val="single" w:sz="8" w:space="0" w:color="auto"/>
              <w:bottom w:val="nil"/>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32</w:t>
            </w:r>
          </w:p>
        </w:tc>
        <w:tc>
          <w:tcPr>
            <w:tcW w:w="850" w:type="dxa"/>
            <w:tcBorders>
              <w:top w:val="nil"/>
              <w:left w:val="nil"/>
              <w:bottom w:val="nil"/>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sz w:val="24"/>
                <w:szCs w:val="24"/>
              </w:rPr>
            </w:pPr>
            <w:r w:rsidRPr="00EC2123">
              <w:rPr>
                <w:rFonts w:ascii="Times New Roman" w:eastAsia="Calibri" w:hAnsi="Times New Roman" w:cs="Times New Roman"/>
                <w:sz w:val="24"/>
                <w:szCs w:val="24"/>
              </w:rPr>
              <w:t>7,0</w:t>
            </w:r>
          </w:p>
        </w:tc>
      </w:tr>
      <w:tr w:rsidR="00EC2123" w:rsidRPr="00EC2123" w:rsidTr="00EC2123">
        <w:trPr>
          <w:trHeight w:val="454"/>
        </w:trPr>
        <w:tc>
          <w:tcPr>
            <w:tcW w:w="5896"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b/>
                <w:bCs/>
                <w:sz w:val="24"/>
                <w:szCs w:val="24"/>
              </w:rPr>
            </w:pPr>
            <w:r w:rsidRPr="00EC2123">
              <w:rPr>
                <w:rFonts w:ascii="Times New Roman" w:eastAsia="Calibri" w:hAnsi="Times New Roman" w:cs="Times New Roman"/>
                <w:b/>
                <w:bCs/>
                <w:sz w:val="24"/>
                <w:szCs w:val="24"/>
              </w:rPr>
              <w:t>Spolu</w:t>
            </w:r>
          </w:p>
        </w:tc>
        <w:tc>
          <w:tcPr>
            <w:tcW w:w="850" w:type="dxa"/>
            <w:tcBorders>
              <w:top w:val="single" w:sz="8" w:space="0" w:color="auto"/>
              <w:left w:val="nil"/>
              <w:bottom w:val="single" w:sz="8"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b/>
                <w:bCs/>
                <w:sz w:val="24"/>
                <w:szCs w:val="24"/>
              </w:rPr>
            </w:pPr>
            <w:r w:rsidRPr="00EC2123">
              <w:rPr>
                <w:rFonts w:ascii="Times New Roman" w:eastAsia="Calibri" w:hAnsi="Times New Roman" w:cs="Times New Roman"/>
                <w:b/>
                <w:bCs/>
                <w:sz w:val="24"/>
                <w:szCs w:val="24"/>
              </w:rPr>
              <w:t>462</w:t>
            </w:r>
          </w:p>
        </w:tc>
        <w:tc>
          <w:tcPr>
            <w:tcW w:w="850" w:type="dxa"/>
            <w:tcBorders>
              <w:top w:val="single" w:sz="8" w:space="0" w:color="auto"/>
              <w:left w:val="nil"/>
              <w:bottom w:val="single" w:sz="8" w:space="0" w:color="auto"/>
              <w:right w:val="single" w:sz="8" w:space="0" w:color="auto"/>
            </w:tcBorders>
            <w:noWrap/>
            <w:tcMar>
              <w:top w:w="16" w:type="dxa"/>
              <w:left w:w="16" w:type="dxa"/>
              <w:bottom w:w="0" w:type="dxa"/>
              <w:right w:w="16" w:type="dxa"/>
            </w:tcMar>
            <w:vAlign w:val="bottom"/>
          </w:tcPr>
          <w:p w:rsidR="00A349EC" w:rsidRPr="00EC2123" w:rsidRDefault="00A349EC" w:rsidP="00755047">
            <w:pPr>
              <w:spacing w:line="240" w:lineRule="auto"/>
              <w:jc w:val="both"/>
              <w:rPr>
                <w:rFonts w:ascii="Times New Roman" w:eastAsia="Calibri" w:hAnsi="Times New Roman" w:cs="Times New Roman"/>
                <w:b/>
                <w:bCs/>
                <w:sz w:val="24"/>
                <w:szCs w:val="24"/>
              </w:rPr>
            </w:pPr>
            <w:r w:rsidRPr="00EC2123">
              <w:rPr>
                <w:rFonts w:ascii="Times New Roman" w:eastAsia="Calibri" w:hAnsi="Times New Roman" w:cs="Times New Roman"/>
                <w:b/>
                <w:bCs/>
                <w:sz w:val="24"/>
                <w:szCs w:val="24"/>
              </w:rPr>
              <w:t>100</w:t>
            </w:r>
          </w:p>
        </w:tc>
      </w:tr>
    </w:tbl>
    <w:p w:rsidR="00A349EC" w:rsidRDefault="00EC2123" w:rsidP="00755047">
      <w:pPr>
        <w:spacing w:line="240" w:lineRule="auto"/>
        <w:jc w:val="both"/>
        <w:rPr>
          <w:rFonts w:ascii="Times New Roman" w:hAnsi="Times New Roman" w:cs="Times New Roman"/>
          <w:sz w:val="24"/>
        </w:rPr>
      </w:pPr>
      <w:r>
        <w:rPr>
          <w:rFonts w:ascii="Times New Roman" w:hAnsi="Times New Roman" w:cs="Times New Roman"/>
          <w:sz w:val="24"/>
        </w:rPr>
        <w:t>Zdroj: Štatistický úrad SR (Sčítanie ľudu 2011)</w:t>
      </w:r>
    </w:p>
    <w:p w:rsidR="00EC2123" w:rsidRDefault="00EC2123" w:rsidP="00755047">
      <w:pPr>
        <w:spacing w:line="240" w:lineRule="auto"/>
        <w:jc w:val="both"/>
        <w:rPr>
          <w:rFonts w:ascii="Times New Roman" w:hAnsi="Times New Roman" w:cs="Times New Roman"/>
          <w:noProof/>
          <w:sz w:val="24"/>
          <w:lang w:eastAsia="sk-SK"/>
        </w:rPr>
      </w:pPr>
      <w:r>
        <w:rPr>
          <w:rFonts w:ascii="Times New Roman" w:hAnsi="Times New Roman" w:cs="Times New Roman"/>
          <w:sz w:val="24"/>
        </w:rPr>
        <w:t xml:space="preserve">Graf 12 – Odvetvia </w:t>
      </w:r>
      <w:r w:rsidRPr="00EC2123">
        <w:rPr>
          <w:rFonts w:ascii="Times New Roman" w:hAnsi="Times New Roman" w:cs="Times New Roman"/>
          <w:noProof/>
          <w:sz w:val="24"/>
          <w:lang w:eastAsia="sk-SK"/>
        </w:rPr>
        <w:t>hospodárstva, v ktorých pracujú obyvatelia obce</w:t>
      </w:r>
      <w:r>
        <w:rPr>
          <w:rFonts w:ascii="Times New Roman" w:hAnsi="Times New Roman" w:cs="Times New Roman"/>
          <w:noProof/>
          <w:sz w:val="24"/>
          <w:lang w:eastAsia="sk-SK"/>
        </w:rPr>
        <w:t xml:space="preserve"> v %</w:t>
      </w:r>
    </w:p>
    <w:p w:rsidR="00EC2123" w:rsidRDefault="00EC2123" w:rsidP="00755047">
      <w:pPr>
        <w:spacing w:line="240" w:lineRule="auto"/>
        <w:jc w:val="both"/>
        <w:rPr>
          <w:rFonts w:ascii="Times New Roman" w:hAnsi="Times New Roman" w:cs="Times New Roman"/>
          <w:sz w:val="24"/>
        </w:rPr>
      </w:pPr>
      <w:r w:rsidRPr="00EC2123">
        <w:rPr>
          <w:rFonts w:ascii="Times New Roman" w:hAnsi="Times New Roman" w:cs="Times New Roman"/>
          <w:noProof/>
          <w:sz w:val="24"/>
          <w:lang w:eastAsia="sk-SK"/>
        </w:rPr>
        <w:lastRenderedPageBreak/>
        <w:drawing>
          <wp:inline distT="0" distB="0" distL="0" distR="0">
            <wp:extent cx="5741888" cy="3739487"/>
            <wp:effectExtent l="19050" t="0" r="11212"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2123" w:rsidRDefault="00EC2123" w:rsidP="00755047">
      <w:pPr>
        <w:spacing w:line="240" w:lineRule="auto"/>
        <w:jc w:val="both"/>
        <w:rPr>
          <w:rFonts w:ascii="Times New Roman" w:hAnsi="Times New Roman" w:cs="Times New Roman"/>
          <w:sz w:val="24"/>
        </w:rPr>
      </w:pPr>
      <w:r>
        <w:rPr>
          <w:rFonts w:ascii="Times New Roman" w:hAnsi="Times New Roman" w:cs="Times New Roman"/>
          <w:sz w:val="24"/>
        </w:rPr>
        <w:t>Zdroj: Tabuľka 15</w:t>
      </w:r>
    </w:p>
    <w:p w:rsidR="00EC2123" w:rsidRDefault="00EC2123" w:rsidP="00755047">
      <w:pPr>
        <w:spacing w:line="240" w:lineRule="auto"/>
        <w:jc w:val="both"/>
        <w:rPr>
          <w:rFonts w:ascii="Times New Roman" w:hAnsi="Times New Roman" w:cs="Times New Roman"/>
          <w:sz w:val="24"/>
        </w:rPr>
      </w:pPr>
      <w:r>
        <w:rPr>
          <w:rFonts w:ascii="Times New Roman" w:hAnsi="Times New Roman" w:cs="Times New Roman"/>
          <w:sz w:val="24"/>
        </w:rPr>
        <w:t xml:space="preserve">Najviac obyvateľov pracuje v stavebníctve a vo veľkoobchode a maloobchode s podielom 21,6% z celkového počtu pracujúcich obyvateľov. 15,2% </w:t>
      </w:r>
      <w:r w:rsidR="008C586B">
        <w:rPr>
          <w:rFonts w:ascii="Times New Roman" w:hAnsi="Times New Roman" w:cs="Times New Roman"/>
          <w:sz w:val="24"/>
        </w:rPr>
        <w:t xml:space="preserve">z </w:t>
      </w:r>
      <w:r>
        <w:rPr>
          <w:rFonts w:ascii="Times New Roman" w:hAnsi="Times New Roman" w:cs="Times New Roman"/>
          <w:sz w:val="24"/>
        </w:rPr>
        <w:t>pracujúcich obyvateľov</w:t>
      </w:r>
      <w:r w:rsidR="008C586B">
        <w:rPr>
          <w:rFonts w:ascii="Times New Roman" w:hAnsi="Times New Roman" w:cs="Times New Roman"/>
          <w:sz w:val="24"/>
        </w:rPr>
        <w:t xml:space="preserve"> pracuje v priemyselnej výrobe.</w:t>
      </w:r>
    </w:p>
    <w:p w:rsidR="00EC2123" w:rsidRPr="00EC2123" w:rsidRDefault="00EC2123" w:rsidP="00755047">
      <w:pPr>
        <w:spacing w:line="240" w:lineRule="auto"/>
        <w:jc w:val="both"/>
        <w:rPr>
          <w:rFonts w:ascii="Times New Roman" w:hAnsi="Times New Roman" w:cs="Times New Roman"/>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Zamestnanosť/nezamestnanosť</w:t>
      </w:r>
    </w:p>
    <w:p w:rsidR="008C586B" w:rsidRDefault="008C586B" w:rsidP="008C586B">
      <w:pPr>
        <w:spacing w:line="240" w:lineRule="auto"/>
        <w:rPr>
          <w:rFonts w:ascii="Times New Roman" w:hAnsi="Times New Roman" w:cs="Times New Roman"/>
          <w:sz w:val="24"/>
        </w:rPr>
      </w:pPr>
      <w:r w:rsidRPr="008C586B">
        <w:rPr>
          <w:rFonts w:ascii="Times New Roman" w:hAnsi="Times New Roman" w:cs="Times New Roman"/>
          <w:sz w:val="24"/>
        </w:rPr>
        <w:t>V nasledujúcej tabuľke je znázornený vývoj počtu nezamestnaných v obci.</w:t>
      </w:r>
    </w:p>
    <w:p w:rsidR="008C586B" w:rsidRDefault="008C586B" w:rsidP="008C586B">
      <w:pPr>
        <w:spacing w:line="240" w:lineRule="auto"/>
        <w:rPr>
          <w:rFonts w:ascii="Times New Roman" w:hAnsi="Times New Roman" w:cs="Times New Roman"/>
          <w:sz w:val="24"/>
        </w:rPr>
      </w:pPr>
      <w:r>
        <w:rPr>
          <w:rFonts w:ascii="Times New Roman" w:hAnsi="Times New Roman" w:cs="Times New Roman"/>
          <w:sz w:val="24"/>
        </w:rPr>
        <w:t>Tabuľka 16 – Počet nezamestnaných v obci</w:t>
      </w:r>
    </w:p>
    <w:tbl>
      <w:tblPr>
        <w:tblW w:w="8734" w:type="dxa"/>
        <w:tblInd w:w="65" w:type="dxa"/>
        <w:tblLayout w:type="fixed"/>
        <w:tblCellMar>
          <w:left w:w="70" w:type="dxa"/>
          <w:right w:w="70"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8C586B" w:rsidRPr="008C586B" w:rsidTr="008C586B">
        <w:trPr>
          <w:trHeight w:val="283"/>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2005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2006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2008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2009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2010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2012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2013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2014</w:t>
            </w:r>
          </w:p>
        </w:tc>
      </w:tr>
      <w:tr w:rsidR="008C586B" w:rsidRPr="008C586B" w:rsidTr="008C586B">
        <w:trPr>
          <w:trHeight w:val="283"/>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Rastislavice</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72</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57</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36</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31</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47</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31</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42</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50</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49</w:t>
            </w:r>
          </w:p>
        </w:tc>
        <w:tc>
          <w:tcPr>
            <w:tcW w:w="794" w:type="dxa"/>
            <w:tcBorders>
              <w:top w:val="nil"/>
              <w:left w:val="nil"/>
              <w:bottom w:val="single" w:sz="4" w:space="0" w:color="auto"/>
              <w:right w:val="single" w:sz="4" w:space="0" w:color="auto"/>
            </w:tcBorders>
            <w:shd w:val="clear" w:color="auto" w:fill="auto"/>
            <w:vAlign w:val="center"/>
            <w:hideMark/>
          </w:tcPr>
          <w:p w:rsidR="008C586B" w:rsidRPr="008C586B" w:rsidRDefault="008C586B" w:rsidP="008C586B">
            <w:pPr>
              <w:spacing w:after="0" w:line="240" w:lineRule="auto"/>
              <w:jc w:val="center"/>
              <w:rPr>
                <w:rFonts w:ascii="Times New Roman" w:eastAsia="Times New Roman" w:hAnsi="Times New Roman" w:cs="Times New Roman"/>
                <w:color w:val="000000"/>
                <w:sz w:val="24"/>
                <w:szCs w:val="24"/>
                <w:lang w:eastAsia="sk-SK"/>
              </w:rPr>
            </w:pPr>
            <w:r w:rsidRPr="008C586B">
              <w:rPr>
                <w:rFonts w:ascii="Times New Roman" w:eastAsia="Times New Roman" w:hAnsi="Times New Roman" w:cs="Times New Roman"/>
                <w:color w:val="000000"/>
                <w:sz w:val="24"/>
                <w:szCs w:val="24"/>
                <w:lang w:eastAsia="sk-SK"/>
              </w:rPr>
              <w:t>48</w:t>
            </w:r>
          </w:p>
        </w:tc>
      </w:tr>
    </w:tbl>
    <w:p w:rsidR="008C586B" w:rsidRDefault="008C586B" w:rsidP="008C586B">
      <w:pPr>
        <w:spacing w:line="240" w:lineRule="auto"/>
        <w:rPr>
          <w:rFonts w:ascii="Times New Roman" w:hAnsi="Times New Roman" w:cs="Times New Roman"/>
          <w:sz w:val="24"/>
        </w:rPr>
      </w:pPr>
      <w:r>
        <w:rPr>
          <w:rFonts w:ascii="Times New Roman" w:hAnsi="Times New Roman" w:cs="Times New Roman"/>
          <w:sz w:val="24"/>
        </w:rPr>
        <w:t>Zdroj: Štatistický úrad SR</w:t>
      </w:r>
    </w:p>
    <w:p w:rsidR="002A688F" w:rsidRDefault="002A688F" w:rsidP="008C586B">
      <w:pPr>
        <w:spacing w:line="240" w:lineRule="auto"/>
        <w:rPr>
          <w:rFonts w:ascii="Times New Roman" w:hAnsi="Times New Roman" w:cs="Times New Roman"/>
          <w:sz w:val="24"/>
        </w:rPr>
      </w:pPr>
    </w:p>
    <w:p w:rsidR="002A688F" w:rsidRDefault="002A688F" w:rsidP="002A688F">
      <w:pPr>
        <w:spacing w:line="240" w:lineRule="auto"/>
        <w:rPr>
          <w:rFonts w:ascii="Times New Roman" w:hAnsi="Times New Roman" w:cs="Times New Roman"/>
          <w:sz w:val="24"/>
        </w:rPr>
      </w:pPr>
      <w:r>
        <w:rPr>
          <w:rFonts w:ascii="Times New Roman" w:hAnsi="Times New Roman" w:cs="Times New Roman"/>
          <w:sz w:val="24"/>
        </w:rPr>
        <w:t>Graf 13 – Počet nezamestnaných v obci</w:t>
      </w:r>
    </w:p>
    <w:p w:rsidR="008C586B" w:rsidRDefault="002A688F" w:rsidP="008C586B">
      <w:pPr>
        <w:spacing w:line="240" w:lineRule="auto"/>
        <w:rPr>
          <w:rFonts w:ascii="Times New Roman" w:hAnsi="Times New Roman" w:cs="Times New Roman"/>
          <w:sz w:val="24"/>
        </w:rPr>
      </w:pPr>
      <w:r>
        <w:rPr>
          <w:rFonts w:ascii="Times New Roman" w:hAnsi="Times New Roman" w:cs="Times New Roman"/>
          <w:noProof/>
          <w:sz w:val="24"/>
          <w:lang w:eastAsia="sk-SK"/>
        </w:rPr>
        <w:lastRenderedPageBreak/>
        <w:drawing>
          <wp:inline distT="0" distB="0" distL="0" distR="0">
            <wp:extent cx="4580559" cy="3111689"/>
            <wp:effectExtent l="19050" t="0" r="10491"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586B" w:rsidRPr="008C586B" w:rsidRDefault="002A688F" w:rsidP="008C586B">
      <w:pPr>
        <w:spacing w:line="240" w:lineRule="auto"/>
        <w:rPr>
          <w:rFonts w:ascii="Times New Roman" w:hAnsi="Times New Roman" w:cs="Times New Roman"/>
          <w:sz w:val="24"/>
        </w:rPr>
      </w:pPr>
      <w:r>
        <w:rPr>
          <w:rFonts w:ascii="Times New Roman" w:hAnsi="Times New Roman" w:cs="Times New Roman"/>
          <w:sz w:val="24"/>
        </w:rPr>
        <w:t>Zdroj: Tabuľka 16</w:t>
      </w:r>
    </w:p>
    <w:p w:rsidR="00A349EC" w:rsidRPr="008C586B" w:rsidRDefault="002A688F" w:rsidP="002A688F">
      <w:pPr>
        <w:spacing w:line="240" w:lineRule="auto"/>
        <w:jc w:val="both"/>
        <w:rPr>
          <w:rFonts w:ascii="Times New Roman" w:hAnsi="Times New Roman" w:cs="Times New Roman"/>
          <w:sz w:val="24"/>
        </w:rPr>
      </w:pPr>
      <w:r>
        <w:rPr>
          <w:rFonts w:ascii="Times New Roman" w:hAnsi="Times New Roman" w:cs="Times New Roman"/>
          <w:sz w:val="24"/>
        </w:rPr>
        <w:t>Z grafu vidieť, že najvyšší počet nezamestnaných bol v roku 2005, odvtedy sa počet výrazne znižoval až do roku 2009, kedy sa zvýšil o 16 obyvateľov. Od roku 2010 sa zas počet nezamestnaných obyvateľov začal zvyšovať. Od roku 2012 má miernu klesajúcu tendenciu.</w:t>
      </w:r>
    </w:p>
    <w:p w:rsidR="00A349EC" w:rsidRPr="008C586B" w:rsidRDefault="00A349EC" w:rsidP="008C586B">
      <w:pPr>
        <w:spacing w:line="240" w:lineRule="auto"/>
        <w:rPr>
          <w:rFonts w:ascii="Times New Roman" w:hAnsi="Times New Roman" w:cs="Times New Roman"/>
          <w:sz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Zruční obyvatelia obce</w:t>
      </w:r>
    </w:p>
    <w:p w:rsidR="002B4C4B" w:rsidRPr="00A349EC" w:rsidRDefault="002B4C4B" w:rsidP="00755047">
      <w:pPr>
        <w:spacing w:line="240" w:lineRule="auto"/>
        <w:jc w:val="both"/>
        <w:rPr>
          <w:rFonts w:ascii="Times New Roman" w:hAnsi="Times New Roman" w:cs="Times New Roman"/>
          <w:i/>
          <w:sz w:val="24"/>
        </w:rPr>
      </w:pPr>
    </w:p>
    <w:p w:rsidR="002B4C4B" w:rsidRPr="00A349EC" w:rsidRDefault="002B4C4B" w:rsidP="00755047">
      <w:pPr>
        <w:spacing w:line="240" w:lineRule="auto"/>
        <w:rPr>
          <w:rFonts w:ascii="Times New Roman" w:hAnsi="Times New Roman" w:cs="Times New Roman"/>
          <w:i/>
          <w:sz w:val="24"/>
        </w:rPr>
      </w:pPr>
    </w:p>
    <w:p w:rsidR="002B4C4B" w:rsidRPr="00A349EC" w:rsidRDefault="002B4C4B" w:rsidP="000E35EF">
      <w:pPr>
        <w:pStyle w:val="Odsekzoznamu"/>
        <w:numPr>
          <w:ilvl w:val="2"/>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Administratívne kapacity obce</w:t>
      </w:r>
    </w:p>
    <w:p w:rsidR="002B4C4B" w:rsidRPr="00A349EC" w:rsidRDefault="002B4C4B" w:rsidP="00755047">
      <w:pPr>
        <w:spacing w:line="240" w:lineRule="auto"/>
        <w:rPr>
          <w:rFonts w:ascii="Times New Roman" w:hAnsi="Times New Roman" w:cs="Times New Roman"/>
          <w:b/>
          <w:sz w:val="28"/>
        </w:rPr>
      </w:pPr>
    </w:p>
    <w:p w:rsidR="002B4C4B" w:rsidRDefault="002B4C4B" w:rsidP="000E35EF">
      <w:pPr>
        <w:pStyle w:val="Odsekzoznamu"/>
        <w:numPr>
          <w:ilvl w:val="2"/>
          <w:numId w:val="13"/>
        </w:numPr>
        <w:spacing w:line="240" w:lineRule="auto"/>
        <w:jc w:val="both"/>
        <w:rPr>
          <w:rFonts w:ascii="Times New Roman" w:hAnsi="Times New Roman" w:cs="Times New Roman"/>
          <w:b/>
          <w:sz w:val="28"/>
        </w:rPr>
      </w:pPr>
      <w:r w:rsidRPr="00A349EC">
        <w:rPr>
          <w:rFonts w:ascii="Times New Roman" w:hAnsi="Times New Roman" w:cs="Times New Roman"/>
          <w:b/>
          <w:sz w:val="28"/>
        </w:rPr>
        <w:t>Sociálna infraštruktúra</w:t>
      </w:r>
    </w:p>
    <w:p w:rsidR="000E35EF" w:rsidRPr="000E35EF" w:rsidRDefault="000E35EF" w:rsidP="000E35EF">
      <w:pPr>
        <w:pStyle w:val="Odsekzoznamu"/>
        <w:rPr>
          <w:rFonts w:ascii="Times New Roman" w:hAnsi="Times New Roman" w:cs="Times New Roman"/>
          <w:b/>
          <w:sz w:val="28"/>
        </w:rPr>
      </w:pPr>
    </w:p>
    <w:p w:rsidR="000E35EF" w:rsidRPr="00A349EC" w:rsidRDefault="000E35EF" w:rsidP="000E35EF">
      <w:pPr>
        <w:pStyle w:val="Odsekzoznamu"/>
        <w:spacing w:line="240" w:lineRule="auto"/>
        <w:ind w:left="1712"/>
        <w:jc w:val="both"/>
        <w:rPr>
          <w:rFonts w:ascii="Times New Roman" w:hAnsi="Times New Roman" w:cs="Times New Roman"/>
          <w:b/>
          <w:sz w:val="28"/>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Školská infraštruktúra</w:t>
      </w:r>
    </w:p>
    <w:p w:rsidR="00A349EC" w:rsidRPr="002A688F" w:rsidRDefault="002A688F" w:rsidP="002A688F">
      <w:pPr>
        <w:spacing w:line="240" w:lineRule="auto"/>
        <w:jc w:val="both"/>
        <w:rPr>
          <w:rFonts w:ascii="Times New Roman" w:eastAsia="Calibri" w:hAnsi="Times New Roman" w:cs="Times New Roman"/>
          <w:sz w:val="24"/>
        </w:rPr>
      </w:pPr>
      <w:r>
        <w:rPr>
          <w:rFonts w:ascii="Times New Roman" w:hAnsi="Times New Roman" w:cs="Times New Roman"/>
          <w:sz w:val="24"/>
        </w:rPr>
        <w:t xml:space="preserve">V obci Rastislavice sa nachádza základná škola, jej typ je </w:t>
      </w:r>
      <w:proofErr w:type="spellStart"/>
      <w:r>
        <w:rPr>
          <w:rFonts w:ascii="Times New Roman" w:hAnsi="Times New Roman" w:cs="Times New Roman"/>
          <w:sz w:val="24"/>
        </w:rPr>
        <w:t>malotriedka</w:t>
      </w:r>
      <w:proofErr w:type="spellEnd"/>
      <w:r>
        <w:rPr>
          <w:rFonts w:ascii="Times New Roman" w:hAnsi="Times New Roman" w:cs="Times New Roman"/>
          <w:sz w:val="24"/>
        </w:rPr>
        <w:t>. Sídli na adrese Rastislavice 186.</w:t>
      </w:r>
      <w:r w:rsidR="00A349EC" w:rsidRPr="002A688F">
        <w:rPr>
          <w:rFonts w:ascii="Times New Roman" w:eastAsia="Calibri" w:hAnsi="Times New Roman" w:cs="Times New Roman"/>
          <w:sz w:val="24"/>
        </w:rPr>
        <w:t xml:space="preserve"> </w:t>
      </w:r>
    </w:p>
    <w:p w:rsidR="00A349EC" w:rsidRPr="00EC1066" w:rsidRDefault="00EC1066" w:rsidP="00EC1066">
      <w:pPr>
        <w:spacing w:line="240" w:lineRule="auto"/>
        <w:jc w:val="both"/>
        <w:rPr>
          <w:rFonts w:ascii="Times New Roman" w:hAnsi="Times New Roman" w:cs="Times New Roman"/>
          <w:sz w:val="24"/>
        </w:rPr>
      </w:pPr>
      <w:r>
        <w:rPr>
          <w:rFonts w:ascii="Times New Roman" w:hAnsi="Times New Roman" w:cs="Times New Roman"/>
          <w:sz w:val="24"/>
        </w:rPr>
        <w:t>Tabuľka 17 – Počet obyvateľov na Základnej škole v Rastislaviciach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871"/>
      </w:tblGrid>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b/>
              </w:rPr>
            </w:pPr>
            <w:r w:rsidRPr="00BE6EA1">
              <w:rPr>
                <w:rFonts w:ascii="Calibri" w:eastAsia="Calibri" w:hAnsi="Calibri" w:cs="Times New Roman"/>
                <w:b/>
              </w:rPr>
              <w:t>Školský rok</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b/>
              </w:rPr>
            </w:pPr>
            <w:r w:rsidRPr="00BE6EA1">
              <w:rPr>
                <w:rFonts w:ascii="Calibri" w:eastAsia="Calibri" w:hAnsi="Calibri" w:cs="Times New Roman"/>
                <w:b/>
              </w:rPr>
              <w:t>Počet žiakov</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2002/2003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31</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2003/2004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32</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2004/2005</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27</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2005/2006</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25</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lastRenderedPageBreak/>
              <w:t>2006/2007</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25</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2007/2008</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22</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2008/2009</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22</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2009/2010</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18</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2010/2011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18</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2011/2012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16</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2012/2013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16</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sidRPr="00BE6EA1">
              <w:rPr>
                <w:rFonts w:ascii="Calibri" w:eastAsia="Calibri" w:hAnsi="Calibri" w:cs="Times New Roman"/>
              </w:rPr>
              <w:t>2013/2014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14</w:t>
            </w:r>
          </w:p>
        </w:tc>
      </w:tr>
      <w:tr w:rsidR="00EC1066" w:rsidRPr="00BE6EA1" w:rsidTr="00EC1066">
        <w:trPr>
          <w:trHeight w:hRule="exact" w:val="340"/>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Pr="00BE6EA1" w:rsidRDefault="002A688F" w:rsidP="00755047">
            <w:pPr>
              <w:spacing w:line="240" w:lineRule="auto"/>
              <w:rPr>
                <w:rFonts w:ascii="Calibri" w:eastAsia="Calibri" w:hAnsi="Calibri" w:cs="Times New Roman"/>
              </w:rPr>
            </w:pPr>
            <w:r>
              <w:rPr>
                <w:rFonts w:ascii="Calibri" w:eastAsia="Calibri" w:hAnsi="Calibri" w:cs="Times New Roman"/>
              </w:rPr>
              <w:t xml:space="preserve">Spolu </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A688F" w:rsidRDefault="002A688F" w:rsidP="00755047">
            <w:pPr>
              <w:spacing w:line="240" w:lineRule="auto"/>
              <w:rPr>
                <w:rFonts w:ascii="Calibri" w:eastAsia="Calibri" w:hAnsi="Calibri" w:cs="Times New Roman"/>
              </w:rPr>
            </w:pPr>
            <w:r>
              <w:rPr>
                <w:rFonts w:ascii="Calibri" w:eastAsia="Calibri" w:hAnsi="Calibri" w:cs="Times New Roman"/>
              </w:rPr>
              <w:t>266</w:t>
            </w:r>
          </w:p>
        </w:tc>
      </w:tr>
    </w:tbl>
    <w:p w:rsidR="00A349EC" w:rsidRDefault="00EC1066" w:rsidP="0075504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Zdroj: Obecný úrad Rastislavice</w:t>
      </w:r>
    </w:p>
    <w:p w:rsidR="00EC1066" w:rsidRDefault="00EC1066" w:rsidP="0075504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Graf 14 – Počet žiakov na Základnej škole v Rastislaviciach</w:t>
      </w:r>
    </w:p>
    <w:p w:rsidR="00EC1066" w:rsidRDefault="00EC1066" w:rsidP="00755047">
      <w:pPr>
        <w:spacing w:line="240" w:lineRule="auto"/>
        <w:rPr>
          <w:rFonts w:ascii="Times New Roman" w:eastAsia="Calibri" w:hAnsi="Times New Roman" w:cs="Times New Roman"/>
          <w:sz w:val="24"/>
          <w:szCs w:val="24"/>
        </w:rPr>
      </w:pPr>
      <w:r w:rsidRPr="00EC1066">
        <w:rPr>
          <w:rFonts w:ascii="Times New Roman" w:eastAsia="Calibri" w:hAnsi="Times New Roman" w:cs="Times New Roman"/>
          <w:noProof/>
          <w:sz w:val="24"/>
          <w:szCs w:val="24"/>
          <w:lang w:eastAsia="sk-SK"/>
        </w:rPr>
        <w:drawing>
          <wp:inline distT="0" distB="0" distL="0" distR="0">
            <wp:extent cx="4572000" cy="2746375"/>
            <wp:effectExtent l="19050" t="0" r="1905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1066" w:rsidRDefault="00EC1066" w:rsidP="0075504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Zdroj: Tabuľka 17</w:t>
      </w:r>
    </w:p>
    <w:p w:rsidR="00A349EC" w:rsidRPr="00EC1066" w:rsidRDefault="00EC1066" w:rsidP="00EC1066">
      <w:pPr>
        <w:spacing w:line="240" w:lineRule="auto"/>
        <w:rPr>
          <w:rFonts w:ascii="Times New Roman" w:eastAsia="Calibri" w:hAnsi="Times New Roman" w:cs="Times New Roman"/>
          <w:sz w:val="24"/>
          <w:szCs w:val="24"/>
        </w:rPr>
      </w:pPr>
      <w:r w:rsidRPr="00EC1066">
        <w:rPr>
          <w:rFonts w:ascii="Times New Roman" w:eastAsia="Calibri" w:hAnsi="Times New Roman" w:cs="Times New Roman"/>
          <w:i/>
          <w:sz w:val="24"/>
          <w:szCs w:val="24"/>
        </w:rPr>
        <w:t>Vybavenie učebňami</w:t>
      </w:r>
      <w:r>
        <w:rPr>
          <w:rFonts w:ascii="Times New Roman" w:eastAsia="Calibri" w:hAnsi="Times New Roman" w:cs="Times New Roman"/>
          <w:i/>
          <w:sz w:val="24"/>
          <w:szCs w:val="24"/>
        </w:rPr>
        <w:t xml:space="preserve"> – </w:t>
      </w:r>
      <w:r>
        <w:rPr>
          <w:rFonts w:ascii="Times New Roman" w:eastAsia="Calibri" w:hAnsi="Times New Roman" w:cs="Times New Roman"/>
          <w:sz w:val="24"/>
          <w:szCs w:val="24"/>
        </w:rPr>
        <w:t>bežné</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349EC" w:rsidRPr="00EC1066">
        <w:rPr>
          <w:rFonts w:ascii="Times New Roman" w:eastAsia="Calibri" w:hAnsi="Times New Roman" w:cs="Times New Roman"/>
          <w:sz w:val="24"/>
          <w:szCs w:val="24"/>
        </w:rPr>
        <w:t xml:space="preserve">2 </w:t>
      </w:r>
    </w:p>
    <w:p w:rsidR="00A349EC" w:rsidRDefault="00A349EC" w:rsidP="00755047">
      <w:pPr>
        <w:spacing w:line="240" w:lineRule="auto"/>
        <w:rPr>
          <w:rFonts w:ascii="Times New Roman" w:eastAsia="Calibri" w:hAnsi="Times New Roman" w:cs="Times New Roman"/>
          <w:i/>
          <w:sz w:val="24"/>
          <w:szCs w:val="24"/>
        </w:rPr>
      </w:pPr>
      <w:r w:rsidRPr="00EC1066">
        <w:rPr>
          <w:rFonts w:ascii="Times New Roman" w:eastAsia="Calibri" w:hAnsi="Times New Roman" w:cs="Times New Roman"/>
          <w:i/>
          <w:sz w:val="24"/>
          <w:szCs w:val="24"/>
        </w:rPr>
        <w:t>Personál – pedagog</w:t>
      </w:r>
      <w:r w:rsidR="00EC1066">
        <w:rPr>
          <w:rFonts w:ascii="Times New Roman" w:eastAsia="Calibri" w:hAnsi="Times New Roman" w:cs="Times New Roman"/>
          <w:i/>
          <w:sz w:val="24"/>
          <w:szCs w:val="24"/>
        </w:rPr>
        <w:t>ický/počet pracovníkov celkom</w:t>
      </w:r>
      <w:r w:rsidR="00EC1066">
        <w:rPr>
          <w:rFonts w:ascii="Times New Roman" w:eastAsia="Calibri" w:hAnsi="Times New Roman" w:cs="Times New Roman"/>
          <w:i/>
          <w:sz w:val="24"/>
          <w:szCs w:val="24"/>
        </w:rPr>
        <w:tab/>
      </w:r>
      <w:r w:rsidR="00EC1066">
        <w:rPr>
          <w:rFonts w:ascii="Times New Roman" w:eastAsia="Calibri" w:hAnsi="Times New Roman" w:cs="Times New Roman"/>
          <w:i/>
          <w:sz w:val="24"/>
          <w:szCs w:val="24"/>
        </w:rPr>
        <w:tab/>
      </w:r>
      <w:r w:rsidR="00EC1066" w:rsidRPr="00EC1066">
        <w:rPr>
          <w:rFonts w:ascii="Times New Roman" w:eastAsia="Calibri" w:hAnsi="Times New Roman" w:cs="Times New Roman"/>
          <w:sz w:val="24"/>
          <w:szCs w:val="24"/>
        </w:rPr>
        <w:t>3</w:t>
      </w:r>
    </w:p>
    <w:p w:rsidR="00A349EC" w:rsidRPr="00EC1066" w:rsidRDefault="00A349EC" w:rsidP="00755047">
      <w:pPr>
        <w:spacing w:line="240" w:lineRule="auto"/>
        <w:rPr>
          <w:rFonts w:ascii="Times New Roman" w:eastAsia="Calibri" w:hAnsi="Times New Roman" w:cs="Times New Roman"/>
          <w:sz w:val="24"/>
          <w:szCs w:val="24"/>
        </w:rPr>
      </w:pPr>
      <w:r w:rsidRPr="00EC1066">
        <w:rPr>
          <w:rFonts w:ascii="Times New Roman" w:eastAsia="Calibri" w:hAnsi="Times New Roman" w:cs="Times New Roman"/>
          <w:i/>
          <w:sz w:val="24"/>
          <w:szCs w:val="24"/>
        </w:rPr>
        <w:t>Personál – nepedagogický /počet pracovníkov celkom</w:t>
      </w:r>
      <w:r w:rsidR="00EC1066">
        <w:rPr>
          <w:rFonts w:ascii="Times New Roman" w:eastAsia="Calibri" w:hAnsi="Times New Roman" w:cs="Times New Roman"/>
          <w:sz w:val="24"/>
          <w:szCs w:val="24"/>
        </w:rPr>
        <w:tab/>
        <w:t>3</w:t>
      </w:r>
    </w:p>
    <w:p w:rsidR="00A349EC" w:rsidRPr="00A349EC" w:rsidRDefault="00A349EC" w:rsidP="00755047">
      <w:pPr>
        <w:spacing w:line="240" w:lineRule="auto"/>
        <w:jc w:val="both"/>
        <w:rPr>
          <w:rFonts w:ascii="Times New Roman" w:hAnsi="Times New Roman" w:cs="Times New Roman"/>
          <w:b/>
          <w:i/>
          <w:sz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Zdravotnícka infraštruktúra</w:t>
      </w:r>
    </w:p>
    <w:p w:rsidR="00EC1066" w:rsidRPr="000E35EF" w:rsidRDefault="00EC1066" w:rsidP="00EC1066">
      <w:pPr>
        <w:spacing w:line="240" w:lineRule="auto"/>
        <w:jc w:val="both"/>
        <w:rPr>
          <w:rFonts w:ascii="Times New Roman" w:hAnsi="Times New Roman" w:cs="Times New Roman"/>
          <w:b/>
          <w:i/>
          <w:color w:val="FF0000"/>
          <w:sz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Sociálna infraštruktúra</w:t>
      </w:r>
    </w:p>
    <w:p w:rsidR="00EC1066" w:rsidRPr="00EC1066" w:rsidRDefault="00EC1066" w:rsidP="00EC1066">
      <w:pPr>
        <w:pStyle w:val="Odsekzoznamu"/>
        <w:rPr>
          <w:rFonts w:ascii="Times New Roman" w:hAnsi="Times New Roman" w:cs="Times New Roman"/>
          <w:b/>
          <w:i/>
          <w:sz w:val="24"/>
        </w:rPr>
      </w:pPr>
    </w:p>
    <w:p w:rsidR="00EC1066" w:rsidRPr="00EC1066" w:rsidRDefault="00EC1066" w:rsidP="00EC1066">
      <w:pPr>
        <w:spacing w:line="240" w:lineRule="auto"/>
        <w:jc w:val="both"/>
        <w:rPr>
          <w:rFonts w:ascii="Times New Roman" w:hAnsi="Times New Roman" w:cs="Times New Roman"/>
          <w:b/>
          <w:i/>
          <w:sz w:val="24"/>
        </w:rPr>
      </w:pPr>
    </w:p>
    <w:p w:rsidR="002B4C4B"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Kultúrna infraštruktúra</w:t>
      </w:r>
    </w:p>
    <w:p w:rsidR="00EC1066" w:rsidRDefault="00EC1066" w:rsidP="00EC1066">
      <w:pPr>
        <w:spacing w:line="240" w:lineRule="auto"/>
        <w:jc w:val="both"/>
        <w:rPr>
          <w:rFonts w:ascii="Times New Roman" w:hAnsi="Times New Roman" w:cs="Times New Roman"/>
          <w:sz w:val="24"/>
        </w:rPr>
      </w:pPr>
      <w:r>
        <w:rPr>
          <w:rFonts w:ascii="Times New Roman" w:hAnsi="Times New Roman" w:cs="Times New Roman"/>
          <w:sz w:val="24"/>
        </w:rPr>
        <w:t>V obci sa nachádzajú tieto kultúrne zariadenia a zariadenia kanonického pôvodu:</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lastRenderedPageBreak/>
        <w:t>Kultúrny dom</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Múzeum</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Knižnica</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Klub mládeže</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Kostol</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Farský úrad</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Parky</w:t>
      </w:r>
    </w:p>
    <w:p w:rsidR="00EC1066" w:rsidRDefault="00EC1066" w:rsidP="00EC1066">
      <w:pPr>
        <w:pStyle w:val="Odsekzoznamu"/>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Významné hroby</w:t>
      </w:r>
    </w:p>
    <w:p w:rsidR="00EC1066" w:rsidRPr="00EC1066" w:rsidRDefault="00EC1066" w:rsidP="00EC1066">
      <w:pPr>
        <w:spacing w:line="240" w:lineRule="auto"/>
        <w:jc w:val="both"/>
        <w:rPr>
          <w:rFonts w:ascii="Times New Roman" w:hAnsi="Times New Roman" w:cs="Times New Roman"/>
          <w:sz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Priestory občianskej vybavenosti</w:t>
      </w:r>
    </w:p>
    <w:p w:rsidR="002B4C4B" w:rsidRPr="00A349EC" w:rsidRDefault="002B4C4B" w:rsidP="00755047">
      <w:pPr>
        <w:spacing w:line="240" w:lineRule="auto"/>
        <w:jc w:val="both"/>
        <w:rPr>
          <w:rFonts w:ascii="Times New Roman" w:hAnsi="Times New Roman" w:cs="Times New Roman"/>
          <w:b/>
          <w:i/>
          <w:sz w:val="24"/>
        </w:rPr>
      </w:pPr>
    </w:p>
    <w:p w:rsidR="002B4C4B" w:rsidRPr="00A349EC" w:rsidRDefault="002B4C4B" w:rsidP="00755047">
      <w:pPr>
        <w:spacing w:line="240" w:lineRule="auto"/>
        <w:rPr>
          <w:rFonts w:ascii="Times New Roman" w:hAnsi="Times New Roman" w:cs="Times New Roman"/>
          <w:b/>
          <w:sz w:val="28"/>
        </w:rPr>
      </w:pPr>
    </w:p>
    <w:p w:rsidR="002B4C4B" w:rsidRPr="00A349EC" w:rsidRDefault="002B4C4B" w:rsidP="000E35EF">
      <w:pPr>
        <w:pStyle w:val="Odsekzoznamu"/>
        <w:numPr>
          <w:ilvl w:val="2"/>
          <w:numId w:val="13"/>
        </w:numPr>
        <w:spacing w:line="240" w:lineRule="auto"/>
        <w:ind w:left="1701" w:hanging="992"/>
        <w:jc w:val="both"/>
        <w:rPr>
          <w:rFonts w:ascii="Times New Roman" w:hAnsi="Times New Roman" w:cs="Times New Roman"/>
          <w:b/>
          <w:sz w:val="28"/>
        </w:rPr>
      </w:pPr>
      <w:r w:rsidRPr="00A349EC">
        <w:rPr>
          <w:rFonts w:ascii="Times New Roman" w:hAnsi="Times New Roman" w:cs="Times New Roman"/>
          <w:b/>
          <w:sz w:val="28"/>
        </w:rPr>
        <w:t>Kultúrny a spoločenský život</w:t>
      </w:r>
    </w:p>
    <w:p w:rsidR="00EC1066" w:rsidRPr="00EC1066" w:rsidRDefault="00EC1066" w:rsidP="00EC1066">
      <w:pPr>
        <w:spacing w:line="240" w:lineRule="auto"/>
        <w:jc w:val="both"/>
        <w:rPr>
          <w:rFonts w:ascii="Times New Roman" w:hAnsi="Times New Roman" w:cs="Times New Roman"/>
          <w:sz w:val="24"/>
        </w:rPr>
      </w:pPr>
      <w:r w:rsidRPr="00EC1066">
        <w:rPr>
          <w:rFonts w:ascii="Times New Roman" w:hAnsi="Times New Roman" w:cs="Times New Roman"/>
          <w:sz w:val="24"/>
        </w:rPr>
        <w:t xml:space="preserve">V obci sa nachádza viacero možností kultúrneho, spoločenského a športového vyžitia. </w:t>
      </w:r>
    </w:p>
    <w:p w:rsidR="00FC49C7" w:rsidRDefault="00FC49C7" w:rsidP="00FC49C7">
      <w:pPr>
        <w:pStyle w:val="Odsekzoznamu"/>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Futbalové ihrisko</w:t>
      </w:r>
    </w:p>
    <w:p w:rsidR="00E80E90" w:rsidRDefault="00FC49C7" w:rsidP="00FC49C7">
      <w:pPr>
        <w:pStyle w:val="Odsekzoznamu"/>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Futbalový klub</w:t>
      </w:r>
    </w:p>
    <w:p w:rsidR="00FC49C7" w:rsidRDefault="00FC49C7" w:rsidP="00FC49C7">
      <w:pPr>
        <w:pStyle w:val="Odsekzoznamu"/>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Poľovnícke združenie</w:t>
      </w:r>
    </w:p>
    <w:p w:rsidR="00FC49C7" w:rsidRDefault="00FC49C7" w:rsidP="00FC49C7">
      <w:pPr>
        <w:pStyle w:val="Odsekzoznamu"/>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Klub mládeže</w:t>
      </w:r>
    </w:p>
    <w:p w:rsidR="00FC49C7" w:rsidRDefault="00FC49C7" w:rsidP="00FC49C7">
      <w:pPr>
        <w:pStyle w:val="Odsekzoznamu"/>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Dobrovoľný hasičský zbor</w:t>
      </w:r>
    </w:p>
    <w:p w:rsidR="00FC49C7" w:rsidRPr="00FC49C7" w:rsidRDefault="00FC49C7" w:rsidP="00FC49C7">
      <w:pPr>
        <w:pStyle w:val="Odsekzoznamu"/>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Občianske združenia</w:t>
      </w:r>
    </w:p>
    <w:p w:rsidR="00E80E90" w:rsidRPr="00A349EC" w:rsidRDefault="00E80E90" w:rsidP="00755047">
      <w:pPr>
        <w:spacing w:line="240" w:lineRule="auto"/>
        <w:rPr>
          <w:rFonts w:ascii="Times New Roman" w:hAnsi="Times New Roman" w:cs="Times New Roman"/>
          <w:sz w:val="24"/>
          <w:szCs w:val="24"/>
        </w:rPr>
      </w:pPr>
    </w:p>
    <w:p w:rsidR="002B4C4B" w:rsidRPr="00A349EC" w:rsidRDefault="002B4C4B" w:rsidP="000E35EF">
      <w:pPr>
        <w:pStyle w:val="Odsekzoznamu"/>
        <w:numPr>
          <w:ilvl w:val="2"/>
          <w:numId w:val="13"/>
        </w:numPr>
        <w:spacing w:line="240" w:lineRule="auto"/>
        <w:ind w:left="1560" w:hanging="851"/>
        <w:jc w:val="both"/>
        <w:rPr>
          <w:rFonts w:ascii="Times New Roman" w:hAnsi="Times New Roman" w:cs="Times New Roman"/>
          <w:b/>
          <w:sz w:val="28"/>
        </w:rPr>
      </w:pPr>
      <w:r w:rsidRPr="00A349EC">
        <w:rPr>
          <w:rFonts w:ascii="Times New Roman" w:hAnsi="Times New Roman" w:cs="Times New Roman"/>
          <w:b/>
          <w:sz w:val="28"/>
        </w:rPr>
        <w:t>Mimovládny sektor</w:t>
      </w:r>
    </w:p>
    <w:p w:rsidR="00D1002B" w:rsidRDefault="00D1002B" w:rsidP="00755047">
      <w:pPr>
        <w:spacing w:line="240" w:lineRule="auto"/>
        <w:jc w:val="both"/>
        <w:rPr>
          <w:rFonts w:ascii="Times New Roman" w:hAnsi="Times New Roman"/>
          <w:sz w:val="24"/>
          <w:szCs w:val="24"/>
        </w:rPr>
      </w:pPr>
      <w:r w:rsidRPr="001C4106">
        <w:rPr>
          <w:rFonts w:ascii="Times New Roman" w:hAnsi="Times New Roman"/>
          <w:sz w:val="24"/>
          <w:szCs w:val="24"/>
        </w:rPr>
        <w:t>Mimovládne organizácie vytvárajú rôzne zoskupenia a plnia najrozli</w:t>
      </w:r>
      <w:r w:rsidRPr="001C4106">
        <w:rPr>
          <w:rFonts w:ascii="Times New Roman" w:hAnsi="Times New Roman" w:hint="eastAsia"/>
          <w:sz w:val="24"/>
          <w:szCs w:val="24"/>
        </w:rPr>
        <w:t>č</w:t>
      </w:r>
      <w:r w:rsidRPr="001C4106">
        <w:rPr>
          <w:rFonts w:ascii="Times New Roman" w:hAnsi="Times New Roman"/>
          <w:sz w:val="24"/>
          <w:szCs w:val="24"/>
        </w:rPr>
        <w:t>nejšie poslanie. Príkladom môžu by</w:t>
      </w:r>
      <w:r w:rsidRPr="001C4106">
        <w:rPr>
          <w:rFonts w:ascii="Times New Roman" w:hAnsi="Times New Roman" w:hint="eastAsia"/>
          <w:sz w:val="24"/>
          <w:szCs w:val="24"/>
        </w:rPr>
        <w:t>ť</w:t>
      </w:r>
      <w:r w:rsidRPr="001C4106">
        <w:rPr>
          <w:rFonts w:ascii="Times New Roman" w:hAnsi="Times New Roman"/>
          <w:sz w:val="24"/>
          <w:szCs w:val="24"/>
        </w:rPr>
        <w:t xml:space="preserve"> napr. rôzne organizácie, ktoré vznikajú pri školách a sú založené vedením školy alebo združením rodi</w:t>
      </w:r>
      <w:r w:rsidRPr="001C4106">
        <w:rPr>
          <w:rFonts w:ascii="Times New Roman" w:hAnsi="Times New Roman" w:hint="eastAsia"/>
          <w:sz w:val="24"/>
          <w:szCs w:val="24"/>
        </w:rPr>
        <w:t>č</w:t>
      </w:r>
      <w:r w:rsidRPr="001C4106">
        <w:rPr>
          <w:rFonts w:ascii="Times New Roman" w:hAnsi="Times New Roman"/>
          <w:sz w:val="24"/>
          <w:szCs w:val="24"/>
        </w:rPr>
        <w:t>ov, jednorazové pasívne organizácie založené na jednu príležitos</w:t>
      </w:r>
      <w:r w:rsidRPr="001C4106">
        <w:rPr>
          <w:rFonts w:ascii="Times New Roman" w:hAnsi="Times New Roman" w:hint="eastAsia"/>
          <w:sz w:val="24"/>
          <w:szCs w:val="24"/>
        </w:rPr>
        <w:t>ť</w:t>
      </w:r>
      <w:r w:rsidRPr="001C4106">
        <w:rPr>
          <w:rFonts w:ascii="Times New Roman" w:hAnsi="Times New Roman"/>
          <w:sz w:val="24"/>
          <w:szCs w:val="24"/>
        </w:rPr>
        <w:t xml:space="preserve"> (festival, výstavu, viano</w:t>
      </w:r>
      <w:r w:rsidRPr="001C4106">
        <w:rPr>
          <w:rFonts w:ascii="Times New Roman" w:hAnsi="Times New Roman" w:hint="eastAsia"/>
          <w:sz w:val="24"/>
          <w:szCs w:val="24"/>
        </w:rPr>
        <w:t>č</w:t>
      </w:r>
      <w:r w:rsidRPr="001C4106">
        <w:rPr>
          <w:rFonts w:ascii="Times New Roman" w:hAnsi="Times New Roman"/>
          <w:sz w:val="24"/>
          <w:szCs w:val="24"/>
        </w:rPr>
        <w:t>nú pomoc de</w:t>
      </w:r>
      <w:r w:rsidRPr="001C4106">
        <w:rPr>
          <w:rFonts w:ascii="Times New Roman" w:hAnsi="Times New Roman" w:hint="eastAsia"/>
          <w:sz w:val="24"/>
          <w:szCs w:val="24"/>
        </w:rPr>
        <w:t>ť</w:t>
      </w:r>
      <w:r w:rsidRPr="001C4106">
        <w:rPr>
          <w:rFonts w:ascii="Times New Roman" w:hAnsi="Times New Roman"/>
          <w:sz w:val="24"/>
          <w:szCs w:val="24"/>
        </w:rPr>
        <w:t>om), organizácie prepojené s inými významnými spolo</w:t>
      </w:r>
      <w:r w:rsidRPr="001C4106">
        <w:rPr>
          <w:rFonts w:ascii="Times New Roman" w:hAnsi="Times New Roman" w:hint="eastAsia"/>
          <w:sz w:val="24"/>
          <w:szCs w:val="24"/>
        </w:rPr>
        <w:t>č</w:t>
      </w:r>
      <w:r w:rsidRPr="001C4106">
        <w:rPr>
          <w:rFonts w:ascii="Times New Roman" w:hAnsi="Times New Roman"/>
          <w:sz w:val="24"/>
          <w:szCs w:val="24"/>
        </w:rPr>
        <w:t>enskými subjektmi alebo štátnymi štruktúrami a podobne (</w:t>
      </w:r>
      <w:proofErr w:type="spellStart"/>
      <w:r w:rsidRPr="001C4106">
        <w:rPr>
          <w:rFonts w:ascii="Times New Roman" w:hAnsi="Times New Roman"/>
          <w:sz w:val="24"/>
          <w:szCs w:val="24"/>
        </w:rPr>
        <w:t>Majdúchová</w:t>
      </w:r>
      <w:proofErr w:type="spellEnd"/>
      <w:r w:rsidRPr="001C4106">
        <w:rPr>
          <w:rFonts w:ascii="Times New Roman" w:hAnsi="Times New Roman"/>
          <w:sz w:val="24"/>
          <w:szCs w:val="24"/>
        </w:rPr>
        <w:t>, 2009).</w:t>
      </w:r>
    </w:p>
    <w:p w:rsidR="00D1002B" w:rsidRDefault="00D1002B" w:rsidP="00755047">
      <w:pPr>
        <w:spacing w:line="240" w:lineRule="auto"/>
        <w:jc w:val="both"/>
        <w:rPr>
          <w:rFonts w:ascii="Times New Roman" w:hAnsi="Times New Roman"/>
          <w:sz w:val="24"/>
          <w:szCs w:val="24"/>
        </w:rPr>
      </w:pPr>
      <w:r>
        <w:rPr>
          <w:rFonts w:ascii="Times New Roman" w:hAnsi="Times New Roman"/>
          <w:sz w:val="24"/>
          <w:szCs w:val="24"/>
        </w:rPr>
        <w:t>V obci Rastislavice sú zriadené 3 mimovládne organizácie. Všetky majú právnu formu občianskeho združenia. Sú to:</w:t>
      </w:r>
    </w:p>
    <w:p w:rsidR="00D1002B" w:rsidRDefault="00D1002B" w:rsidP="00E12B27">
      <w:pPr>
        <w:pStyle w:val="Odsekzoznamu"/>
        <w:numPr>
          <w:ilvl w:val="0"/>
          <w:numId w:val="6"/>
        </w:numPr>
        <w:spacing w:line="240" w:lineRule="auto"/>
        <w:jc w:val="both"/>
        <w:rPr>
          <w:rFonts w:ascii="Times New Roman" w:hAnsi="Times New Roman"/>
          <w:sz w:val="24"/>
          <w:szCs w:val="24"/>
        </w:rPr>
      </w:pPr>
      <w:r>
        <w:rPr>
          <w:rFonts w:ascii="Times New Roman" w:hAnsi="Times New Roman"/>
          <w:sz w:val="24"/>
          <w:szCs w:val="24"/>
        </w:rPr>
        <w:t>Futbalový klub Slovan Rastislavice</w:t>
      </w:r>
    </w:p>
    <w:p w:rsidR="00D1002B" w:rsidRDefault="00D1002B" w:rsidP="00E12B27">
      <w:pPr>
        <w:pStyle w:val="Odsekzoznamu"/>
        <w:numPr>
          <w:ilvl w:val="0"/>
          <w:numId w:val="6"/>
        </w:numPr>
        <w:spacing w:line="240" w:lineRule="auto"/>
        <w:jc w:val="both"/>
        <w:rPr>
          <w:rFonts w:ascii="Times New Roman" w:hAnsi="Times New Roman"/>
          <w:sz w:val="24"/>
          <w:szCs w:val="24"/>
        </w:rPr>
      </w:pPr>
      <w:r>
        <w:rPr>
          <w:rFonts w:ascii="Times New Roman" w:hAnsi="Times New Roman"/>
          <w:sz w:val="24"/>
          <w:szCs w:val="24"/>
        </w:rPr>
        <w:t>Máme radi Rastislavice, o. z.</w:t>
      </w:r>
    </w:p>
    <w:p w:rsidR="00D1002B" w:rsidRPr="00A1015C" w:rsidRDefault="00D1002B" w:rsidP="00E12B27">
      <w:pPr>
        <w:pStyle w:val="Odsekzoznamu"/>
        <w:numPr>
          <w:ilvl w:val="0"/>
          <w:numId w:val="6"/>
        </w:numPr>
        <w:spacing w:line="240" w:lineRule="auto"/>
        <w:jc w:val="both"/>
        <w:rPr>
          <w:rFonts w:ascii="Times New Roman" w:hAnsi="Times New Roman"/>
          <w:sz w:val="24"/>
          <w:szCs w:val="24"/>
        </w:rPr>
      </w:pPr>
      <w:r>
        <w:rPr>
          <w:rFonts w:ascii="Times New Roman" w:hAnsi="Times New Roman"/>
          <w:sz w:val="24"/>
          <w:szCs w:val="24"/>
        </w:rPr>
        <w:t>Rodičovské združenie pri ZŠ s MŠ Rastislavice 186</w:t>
      </w:r>
    </w:p>
    <w:p w:rsidR="00D1002B" w:rsidRDefault="00D1002B" w:rsidP="00755047">
      <w:pPr>
        <w:spacing w:line="240" w:lineRule="auto"/>
        <w:jc w:val="both"/>
        <w:rPr>
          <w:rFonts w:ascii="Times New Roman" w:hAnsi="Times New Roman" w:cs="Times New Roman"/>
          <w:sz w:val="24"/>
        </w:rPr>
        <w:sectPr w:rsidR="00D1002B" w:rsidSect="003443AF">
          <w:pgSz w:w="11906" w:h="16838"/>
          <w:pgMar w:top="1417" w:right="1417" w:bottom="1417" w:left="1417" w:header="708" w:footer="708" w:gutter="0"/>
          <w:cols w:space="708"/>
          <w:docGrid w:linePitch="360"/>
        </w:sectPr>
      </w:pPr>
    </w:p>
    <w:p w:rsidR="002B4C4B" w:rsidRPr="00A349EC" w:rsidRDefault="002B4C4B" w:rsidP="00755047">
      <w:pPr>
        <w:spacing w:line="240" w:lineRule="auto"/>
        <w:rPr>
          <w:rFonts w:ascii="Times New Roman" w:hAnsi="Times New Roman" w:cs="Times New Roman"/>
          <w:sz w:val="24"/>
        </w:rPr>
      </w:pPr>
    </w:p>
    <w:p w:rsidR="002B4C4B" w:rsidRPr="00A349EC" w:rsidRDefault="002B4C4B" w:rsidP="000E35EF">
      <w:pPr>
        <w:pStyle w:val="Odsekzoznamu"/>
        <w:numPr>
          <w:ilvl w:val="2"/>
          <w:numId w:val="13"/>
        </w:numPr>
        <w:spacing w:line="240" w:lineRule="auto"/>
        <w:ind w:left="1560" w:hanging="1134"/>
        <w:jc w:val="both"/>
        <w:rPr>
          <w:rFonts w:ascii="Times New Roman" w:hAnsi="Times New Roman" w:cs="Times New Roman"/>
          <w:b/>
          <w:sz w:val="28"/>
        </w:rPr>
      </w:pPr>
      <w:r w:rsidRPr="00A349EC">
        <w:rPr>
          <w:rFonts w:ascii="Times New Roman" w:hAnsi="Times New Roman" w:cs="Times New Roman"/>
          <w:b/>
          <w:sz w:val="28"/>
        </w:rPr>
        <w:t>Podnikateľské prostredie</w:t>
      </w:r>
    </w:p>
    <w:p w:rsidR="00D1002B" w:rsidRDefault="00D1002B" w:rsidP="00755047">
      <w:pPr>
        <w:spacing w:line="240" w:lineRule="auto"/>
        <w:jc w:val="both"/>
        <w:rPr>
          <w:rFonts w:ascii="Times New Roman" w:hAnsi="Times New Roman" w:cs="Times New Roman"/>
          <w:sz w:val="24"/>
        </w:rPr>
      </w:pPr>
      <w:r w:rsidRPr="0064615C">
        <w:rPr>
          <w:rFonts w:ascii="Times New Roman" w:hAnsi="Times New Roman" w:cs="Times New Roman"/>
          <w:sz w:val="24"/>
        </w:rPr>
        <w:t xml:space="preserve">Podnikateľské prostredie je v obci Rastislavice tvorené zväčša </w:t>
      </w:r>
      <w:proofErr w:type="spellStart"/>
      <w:r w:rsidRPr="0064615C">
        <w:rPr>
          <w:rFonts w:ascii="Times New Roman" w:hAnsi="Times New Roman" w:cs="Times New Roman"/>
          <w:sz w:val="24"/>
        </w:rPr>
        <w:t>mikropodnikmi</w:t>
      </w:r>
      <w:proofErr w:type="spellEnd"/>
      <w:r>
        <w:rPr>
          <w:rFonts w:ascii="Times New Roman" w:hAnsi="Times New Roman" w:cs="Times New Roman"/>
          <w:sz w:val="24"/>
        </w:rPr>
        <w:t xml:space="preserve"> </w:t>
      </w:r>
      <w:r w:rsidRPr="0064615C">
        <w:rPr>
          <w:rFonts w:ascii="Times New Roman" w:hAnsi="Times New Roman" w:cs="Times New Roman"/>
          <w:sz w:val="24"/>
        </w:rPr>
        <w:t>zamestnávajúcimi do 20 zamestnancov. V obci Rastislavice sa na zamestnanosti najvyššou</w:t>
      </w:r>
      <w:r>
        <w:rPr>
          <w:rFonts w:ascii="Times New Roman" w:hAnsi="Times New Roman" w:cs="Times New Roman"/>
          <w:sz w:val="24"/>
        </w:rPr>
        <w:t xml:space="preserve"> mierou podieľ</w:t>
      </w:r>
      <w:r w:rsidRPr="0064615C">
        <w:rPr>
          <w:rFonts w:ascii="Times New Roman" w:hAnsi="Times New Roman" w:cs="Times New Roman"/>
          <w:sz w:val="24"/>
        </w:rPr>
        <w:t>ajú nasledovní zamestnávatelia:</w:t>
      </w:r>
    </w:p>
    <w:p w:rsidR="00D1002B"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Servisné družstvo roľníkov, poľnohospodárska výroba, 16 zamestnancov,</w:t>
      </w:r>
    </w:p>
    <w:p w:rsidR="00D1002B" w:rsidRPr="0064615C"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ATOLL, s.r.o., galantéria – patenty, klipsy a pod., 12 zamestnancov,</w:t>
      </w:r>
    </w:p>
    <w:p w:rsidR="00D1002B" w:rsidRPr="0064615C"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CHOVMAT F.U., s.r.o., poľnohospodárska výroba, 10 zamestnancov,</w:t>
      </w:r>
    </w:p>
    <w:p w:rsidR="00D1002B"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J.G.S. AGRO, s.r.o., poľnohospodárska výroba, 5 zamestnancov,</w:t>
      </w:r>
    </w:p>
    <w:p w:rsidR="00D1002B" w:rsidRDefault="00D1002B" w:rsidP="00E12B27">
      <w:pPr>
        <w:pStyle w:val="Odsekzoznamu"/>
        <w:numPr>
          <w:ilvl w:val="0"/>
          <w:numId w:val="7"/>
        </w:numPr>
        <w:spacing w:line="240" w:lineRule="auto"/>
        <w:jc w:val="both"/>
        <w:rPr>
          <w:rFonts w:ascii="Times New Roman" w:hAnsi="Times New Roman" w:cs="Times New Roman"/>
          <w:sz w:val="24"/>
        </w:rPr>
      </w:pPr>
      <w:r>
        <w:rPr>
          <w:rFonts w:ascii="Times New Roman" w:hAnsi="Times New Roman" w:cs="Times New Roman"/>
          <w:sz w:val="24"/>
        </w:rPr>
        <w:t>ARIO DIREKTA, s. r. o. – textilná výroba,</w:t>
      </w:r>
    </w:p>
    <w:p w:rsidR="00D1002B" w:rsidRDefault="00D1002B" w:rsidP="00E12B27">
      <w:pPr>
        <w:pStyle w:val="Odsekzoznamu"/>
        <w:numPr>
          <w:ilvl w:val="0"/>
          <w:numId w:val="7"/>
        </w:numPr>
        <w:spacing w:line="240" w:lineRule="auto"/>
        <w:jc w:val="both"/>
        <w:rPr>
          <w:rFonts w:ascii="Times New Roman" w:hAnsi="Times New Roman" w:cs="Times New Roman"/>
          <w:sz w:val="24"/>
        </w:rPr>
      </w:pPr>
      <w:r>
        <w:rPr>
          <w:rFonts w:ascii="Times New Roman" w:hAnsi="Times New Roman" w:cs="Times New Roman"/>
          <w:sz w:val="24"/>
        </w:rPr>
        <w:t xml:space="preserve">DIARA, s. r. o. - </w:t>
      </w:r>
      <w:r w:rsidRPr="0064615C">
        <w:rPr>
          <w:rFonts w:ascii="Times New Roman" w:hAnsi="Times New Roman" w:cs="Times New Roman"/>
          <w:sz w:val="24"/>
        </w:rPr>
        <w:t>Autokempingy, táboriská a miesta pre karavány</w:t>
      </w:r>
      <w:r>
        <w:rPr>
          <w:rFonts w:ascii="Times New Roman" w:hAnsi="Times New Roman" w:cs="Times New Roman"/>
          <w:sz w:val="24"/>
        </w:rPr>
        <w:t>, jedálne</w:t>
      </w:r>
    </w:p>
    <w:p w:rsidR="00D1002B" w:rsidRDefault="00D1002B" w:rsidP="00E12B27">
      <w:pPr>
        <w:pStyle w:val="Odsekzoznamu"/>
        <w:numPr>
          <w:ilvl w:val="0"/>
          <w:numId w:val="7"/>
        </w:numPr>
        <w:spacing w:line="240" w:lineRule="auto"/>
        <w:jc w:val="both"/>
        <w:rPr>
          <w:rFonts w:ascii="Times New Roman" w:hAnsi="Times New Roman" w:cs="Times New Roman"/>
          <w:sz w:val="24"/>
        </w:rPr>
      </w:pPr>
      <w:r>
        <w:rPr>
          <w:rFonts w:ascii="Times New Roman" w:hAnsi="Times New Roman" w:cs="Times New Roman"/>
          <w:sz w:val="24"/>
        </w:rPr>
        <w:t>O.M.C. INVEST, s. r. o. – maloobchod</w:t>
      </w:r>
    </w:p>
    <w:p w:rsidR="00D1002B" w:rsidRPr="0064615C" w:rsidRDefault="00D1002B" w:rsidP="00E12B27">
      <w:pPr>
        <w:pStyle w:val="Odsekzoznamu"/>
        <w:numPr>
          <w:ilvl w:val="0"/>
          <w:numId w:val="7"/>
        </w:numPr>
        <w:spacing w:line="240" w:lineRule="auto"/>
        <w:jc w:val="both"/>
        <w:rPr>
          <w:rFonts w:ascii="Times New Roman" w:hAnsi="Times New Roman" w:cs="Times New Roman"/>
          <w:sz w:val="24"/>
        </w:rPr>
      </w:pPr>
      <w:proofErr w:type="spellStart"/>
      <w:r>
        <w:rPr>
          <w:rFonts w:ascii="Times New Roman" w:hAnsi="Times New Roman" w:cs="Times New Roman"/>
          <w:sz w:val="24"/>
        </w:rPr>
        <w:t>Poľno</w:t>
      </w:r>
      <w:proofErr w:type="spellEnd"/>
      <w:r>
        <w:rPr>
          <w:rFonts w:ascii="Times New Roman" w:hAnsi="Times New Roman" w:cs="Times New Roman"/>
          <w:sz w:val="24"/>
        </w:rPr>
        <w:t xml:space="preserve"> SME, s. r. o. – poľnohospodárska výroba</w:t>
      </w:r>
    </w:p>
    <w:p w:rsidR="00D1002B" w:rsidRPr="00A1015C"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 xml:space="preserve">Jozef </w:t>
      </w:r>
      <w:proofErr w:type="spellStart"/>
      <w:r w:rsidRPr="0064615C">
        <w:rPr>
          <w:rFonts w:ascii="Times New Roman" w:hAnsi="Times New Roman" w:cs="Times New Roman"/>
          <w:sz w:val="24"/>
        </w:rPr>
        <w:t>Kóša</w:t>
      </w:r>
      <w:proofErr w:type="spellEnd"/>
      <w:r w:rsidRPr="0064615C">
        <w:rPr>
          <w:rFonts w:ascii="Times New Roman" w:hAnsi="Times New Roman" w:cs="Times New Roman"/>
          <w:sz w:val="24"/>
        </w:rPr>
        <w:t xml:space="preserve"> STARMONT, kovovýroba – kontajnery, 4 zamestnanci.</w:t>
      </w:r>
    </w:p>
    <w:p w:rsidR="00D1002B" w:rsidRPr="0064615C" w:rsidRDefault="00D1002B" w:rsidP="00755047">
      <w:pPr>
        <w:spacing w:line="240" w:lineRule="auto"/>
        <w:jc w:val="both"/>
        <w:rPr>
          <w:rFonts w:ascii="Times New Roman" w:hAnsi="Times New Roman" w:cs="Times New Roman"/>
          <w:sz w:val="24"/>
        </w:rPr>
      </w:pPr>
      <w:r w:rsidRPr="0064615C">
        <w:rPr>
          <w:rFonts w:ascii="Times New Roman" w:hAnsi="Times New Roman" w:cs="Times New Roman"/>
          <w:sz w:val="24"/>
        </w:rPr>
        <w:t xml:space="preserve">Ďalšími významnými zamestnávateľmi </w:t>
      </w:r>
      <w:r>
        <w:rPr>
          <w:rFonts w:ascii="Times New Roman" w:hAnsi="Times New Roman" w:cs="Times New Roman"/>
          <w:sz w:val="24"/>
        </w:rPr>
        <w:t xml:space="preserve">v okolí obce </w:t>
      </w:r>
      <w:r w:rsidRPr="0064615C">
        <w:rPr>
          <w:rFonts w:ascii="Times New Roman" w:hAnsi="Times New Roman" w:cs="Times New Roman"/>
          <w:sz w:val="24"/>
        </w:rPr>
        <w:t>sú:</w:t>
      </w:r>
    </w:p>
    <w:p w:rsidR="00D1002B" w:rsidRPr="0064615C"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Matador AUTOMOTIVE VRÁBLE, a.s., kovovýroba,</w:t>
      </w:r>
    </w:p>
    <w:p w:rsidR="00D1002B" w:rsidRPr="0064615C" w:rsidRDefault="00D1002B" w:rsidP="00E12B27">
      <w:pPr>
        <w:pStyle w:val="Odsekzoznamu"/>
        <w:numPr>
          <w:ilvl w:val="0"/>
          <w:numId w:val="7"/>
        </w:numPr>
        <w:spacing w:line="240" w:lineRule="auto"/>
        <w:jc w:val="both"/>
        <w:rPr>
          <w:rFonts w:ascii="Times New Roman" w:hAnsi="Times New Roman" w:cs="Times New Roman"/>
          <w:sz w:val="24"/>
        </w:rPr>
      </w:pPr>
      <w:r w:rsidRPr="0064615C">
        <w:rPr>
          <w:rFonts w:ascii="Times New Roman" w:hAnsi="Times New Roman" w:cs="Times New Roman"/>
          <w:sz w:val="24"/>
        </w:rPr>
        <w:t>Samsung Galanta, elektropriemysel,</w:t>
      </w:r>
    </w:p>
    <w:p w:rsidR="00E80E90" w:rsidRPr="00755047" w:rsidRDefault="00D1002B" w:rsidP="00E12B27">
      <w:pPr>
        <w:pStyle w:val="Odsekzoznamu"/>
        <w:numPr>
          <w:ilvl w:val="0"/>
          <w:numId w:val="7"/>
        </w:numPr>
        <w:spacing w:line="240" w:lineRule="auto"/>
        <w:jc w:val="both"/>
        <w:rPr>
          <w:rFonts w:ascii="Times New Roman" w:hAnsi="Times New Roman" w:cs="Times New Roman"/>
          <w:b/>
          <w:sz w:val="28"/>
        </w:rPr>
      </w:pPr>
      <w:r w:rsidRPr="00755047">
        <w:rPr>
          <w:rFonts w:ascii="Times New Roman" w:hAnsi="Times New Roman" w:cs="Times New Roman"/>
          <w:sz w:val="24"/>
        </w:rPr>
        <w:t>SE BORDNETZE SLOVAKIA, s.r.o., Nitra, káblové zväzky</w:t>
      </w:r>
      <w:r w:rsidR="00755047" w:rsidRPr="00755047">
        <w:rPr>
          <w:rFonts w:ascii="Times New Roman" w:hAnsi="Times New Roman" w:cs="Times New Roman"/>
          <w:sz w:val="24"/>
        </w:rPr>
        <w:t xml:space="preserve"> </w:t>
      </w:r>
    </w:p>
    <w:p w:rsidR="006F1AB6" w:rsidRDefault="006F1AB6" w:rsidP="006F1AB6">
      <w:pPr>
        <w:spacing w:line="240" w:lineRule="auto"/>
        <w:jc w:val="both"/>
        <w:rPr>
          <w:rFonts w:ascii="Times New Roman" w:hAnsi="Times New Roman"/>
          <w:sz w:val="24"/>
          <w:szCs w:val="24"/>
        </w:rPr>
      </w:pPr>
    </w:p>
    <w:p w:rsidR="006F1AB6" w:rsidRPr="006F1AB6" w:rsidRDefault="006F1AB6" w:rsidP="006F1AB6">
      <w:pPr>
        <w:spacing w:line="240" w:lineRule="auto"/>
        <w:jc w:val="both"/>
        <w:rPr>
          <w:rFonts w:ascii="Times New Roman" w:hAnsi="Times New Roman"/>
          <w:sz w:val="24"/>
          <w:szCs w:val="24"/>
        </w:rPr>
      </w:pPr>
      <w:r w:rsidRPr="006F1AB6">
        <w:rPr>
          <w:rFonts w:ascii="Times New Roman" w:hAnsi="Times New Roman"/>
          <w:sz w:val="24"/>
          <w:szCs w:val="24"/>
        </w:rPr>
        <w:t>V obci sa nachádza</w:t>
      </w:r>
      <w:r>
        <w:rPr>
          <w:rFonts w:ascii="Times New Roman" w:hAnsi="Times New Roman"/>
          <w:sz w:val="24"/>
          <w:szCs w:val="24"/>
        </w:rPr>
        <w:t>jú spolu 4</w:t>
      </w:r>
      <w:r w:rsidRPr="006F1AB6">
        <w:rPr>
          <w:rFonts w:ascii="Times New Roman" w:hAnsi="Times New Roman"/>
          <w:sz w:val="24"/>
          <w:szCs w:val="24"/>
        </w:rPr>
        <w:t xml:space="preserve"> podnik</w:t>
      </w:r>
      <w:r>
        <w:rPr>
          <w:rFonts w:ascii="Times New Roman" w:hAnsi="Times New Roman"/>
          <w:sz w:val="24"/>
          <w:szCs w:val="24"/>
        </w:rPr>
        <w:t>y primárneho sektora, 6</w:t>
      </w:r>
      <w:r w:rsidRPr="006F1AB6">
        <w:rPr>
          <w:rFonts w:ascii="Times New Roman" w:hAnsi="Times New Roman"/>
          <w:sz w:val="24"/>
          <w:szCs w:val="24"/>
        </w:rPr>
        <w:t xml:space="preserve"> sekundárneho sektora a </w:t>
      </w:r>
      <w:r>
        <w:rPr>
          <w:rFonts w:ascii="Times New Roman" w:hAnsi="Times New Roman"/>
          <w:sz w:val="24"/>
          <w:szCs w:val="24"/>
        </w:rPr>
        <w:t>1</w:t>
      </w:r>
      <w:r w:rsidRPr="006F1AB6">
        <w:rPr>
          <w:rFonts w:ascii="Times New Roman" w:hAnsi="Times New Roman"/>
          <w:sz w:val="24"/>
          <w:szCs w:val="24"/>
        </w:rPr>
        <w:t xml:space="preserve"> terciárneho sektora. Spolu je tu </w:t>
      </w:r>
      <w:r>
        <w:rPr>
          <w:rFonts w:ascii="Times New Roman" w:hAnsi="Times New Roman"/>
          <w:sz w:val="24"/>
          <w:szCs w:val="24"/>
        </w:rPr>
        <w:t>11</w:t>
      </w:r>
      <w:r w:rsidRPr="006F1AB6">
        <w:rPr>
          <w:rFonts w:ascii="Times New Roman" w:hAnsi="Times New Roman"/>
          <w:sz w:val="24"/>
          <w:szCs w:val="24"/>
        </w:rPr>
        <w:t xml:space="preserve"> podnikateľských subjektov. Z toho </w:t>
      </w:r>
      <w:r>
        <w:rPr>
          <w:rFonts w:ascii="Times New Roman" w:hAnsi="Times New Roman"/>
          <w:sz w:val="24"/>
          <w:szCs w:val="24"/>
        </w:rPr>
        <w:t xml:space="preserve">všetky sú </w:t>
      </w:r>
      <w:proofErr w:type="spellStart"/>
      <w:r>
        <w:rPr>
          <w:rFonts w:ascii="Times New Roman" w:hAnsi="Times New Roman"/>
          <w:sz w:val="24"/>
          <w:szCs w:val="24"/>
        </w:rPr>
        <w:t>mikropodniky</w:t>
      </w:r>
      <w:proofErr w:type="spellEnd"/>
      <w:r w:rsidRPr="006F1AB6">
        <w:rPr>
          <w:rFonts w:ascii="Times New Roman" w:hAnsi="Times New Roman"/>
          <w:sz w:val="24"/>
          <w:szCs w:val="24"/>
        </w:rPr>
        <w:t>,</w:t>
      </w:r>
      <w:r>
        <w:rPr>
          <w:rFonts w:ascii="Times New Roman" w:hAnsi="Times New Roman"/>
          <w:sz w:val="24"/>
          <w:szCs w:val="24"/>
        </w:rPr>
        <w:t xml:space="preserve"> 4 sú fyzické osoby a 7 právnických osôb.</w:t>
      </w:r>
    </w:p>
    <w:p w:rsidR="00755047" w:rsidRPr="000B129B" w:rsidRDefault="000B129B" w:rsidP="00755047">
      <w:pPr>
        <w:spacing w:line="240" w:lineRule="auto"/>
        <w:jc w:val="both"/>
        <w:rPr>
          <w:rFonts w:ascii="Times New Roman" w:hAnsi="Times New Roman" w:cs="Times New Roman"/>
          <w:sz w:val="24"/>
        </w:rPr>
      </w:pPr>
      <w:r w:rsidRPr="000B129B">
        <w:rPr>
          <w:rFonts w:ascii="Times New Roman" w:hAnsi="Times New Roman" w:cs="Times New Roman"/>
          <w:sz w:val="24"/>
        </w:rPr>
        <w:t>Tabuľka 18 – Podnikateľská štruktúra v obci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616"/>
        <w:gridCol w:w="773"/>
        <w:gridCol w:w="1042"/>
        <w:gridCol w:w="1034"/>
        <w:gridCol w:w="723"/>
        <w:gridCol w:w="1008"/>
        <w:gridCol w:w="750"/>
        <w:gridCol w:w="967"/>
        <w:gridCol w:w="523"/>
        <w:gridCol w:w="894"/>
      </w:tblGrid>
      <w:tr w:rsidR="00A349EC" w:rsidRPr="000B129B" w:rsidTr="000B129B">
        <w:trPr>
          <w:trHeight w:val="170"/>
        </w:trPr>
        <w:tc>
          <w:tcPr>
            <w:tcW w:w="2110" w:type="dxa"/>
            <w:gridSpan w:val="2"/>
            <w:vMerge w:val="restart"/>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Podniky</w:t>
            </w:r>
          </w:p>
        </w:tc>
        <w:tc>
          <w:tcPr>
            <w:tcW w:w="1820"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roofErr w:type="spellStart"/>
            <w:r w:rsidRPr="000B129B">
              <w:rPr>
                <w:rFonts w:ascii="Times New Roman" w:eastAsia="Calibri" w:hAnsi="Times New Roman" w:cs="Times New Roman"/>
                <w:sz w:val="24"/>
                <w:szCs w:val="24"/>
              </w:rPr>
              <w:t>Mikropodniky</w:t>
            </w:r>
            <w:proofErr w:type="spellEnd"/>
          </w:p>
          <w:p w:rsidR="00A349EC" w:rsidRPr="000B129B" w:rsidRDefault="00A349EC" w:rsidP="000B129B">
            <w:pPr>
              <w:spacing w:line="240" w:lineRule="auto"/>
              <w:rPr>
                <w:rFonts w:ascii="Times New Roman" w:eastAsia="Calibri" w:hAnsi="Times New Roman" w:cs="Times New Roman"/>
                <w:sz w:val="24"/>
                <w:szCs w:val="24"/>
              </w:rPr>
            </w:pPr>
          </w:p>
        </w:tc>
        <w:tc>
          <w:tcPr>
            <w:tcW w:w="1775"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Malé podniky</w:t>
            </w:r>
          </w:p>
        </w:tc>
        <w:tc>
          <w:tcPr>
            <w:tcW w:w="1776"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Stredné podniky</w:t>
            </w:r>
          </w:p>
        </w:tc>
        <w:tc>
          <w:tcPr>
            <w:tcW w:w="1450"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Veľké podniky</w:t>
            </w:r>
          </w:p>
        </w:tc>
        <w:tc>
          <w:tcPr>
            <w:tcW w:w="897" w:type="dxa"/>
            <w:vMerge w:val="restart"/>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Spolu</w:t>
            </w:r>
          </w:p>
        </w:tc>
      </w:tr>
      <w:tr w:rsidR="00A349EC" w:rsidRPr="000B129B" w:rsidTr="000B129B">
        <w:trPr>
          <w:trHeight w:val="170"/>
        </w:trPr>
        <w:tc>
          <w:tcPr>
            <w:tcW w:w="2110" w:type="dxa"/>
            <w:gridSpan w:val="2"/>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FO</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PO</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FO</w:t>
            </w: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PO</w:t>
            </w: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FO</w:t>
            </w: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PO</w:t>
            </w: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FO</w:t>
            </w: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PO</w:t>
            </w:r>
          </w:p>
        </w:tc>
        <w:tc>
          <w:tcPr>
            <w:tcW w:w="897"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r>
      <w:tr w:rsidR="00A349EC" w:rsidRPr="000B129B" w:rsidTr="000B129B">
        <w:trPr>
          <w:trHeight w:val="170"/>
        </w:trPr>
        <w:tc>
          <w:tcPr>
            <w:tcW w:w="496" w:type="dxa"/>
            <w:vMerge w:val="restart"/>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PS</w:t>
            </w: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roofErr w:type="spellStart"/>
            <w:r w:rsidRPr="000B129B">
              <w:rPr>
                <w:rFonts w:ascii="Times New Roman" w:eastAsia="Calibri" w:hAnsi="Times New Roman" w:cs="Times New Roman"/>
                <w:sz w:val="24"/>
                <w:szCs w:val="24"/>
              </w:rPr>
              <w:t>Poľnohospod</w:t>
            </w:r>
            <w:proofErr w:type="spellEnd"/>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4</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4</w:t>
            </w:r>
          </w:p>
        </w:tc>
      </w:tr>
      <w:tr w:rsidR="00A349EC" w:rsidRPr="000B129B" w:rsidTr="000B129B">
        <w:trPr>
          <w:trHeight w:val="170"/>
        </w:trPr>
        <w:tc>
          <w:tcPr>
            <w:tcW w:w="496"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Lesníctvo</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r>
      <w:tr w:rsidR="00A349EC" w:rsidRPr="000B129B" w:rsidTr="000B129B">
        <w:trPr>
          <w:trHeight w:val="170"/>
        </w:trPr>
        <w:tc>
          <w:tcPr>
            <w:tcW w:w="496"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Ťažba NS</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r>
      <w:tr w:rsidR="00A349EC" w:rsidRPr="000B129B" w:rsidTr="000B129B">
        <w:trPr>
          <w:trHeight w:val="170"/>
        </w:trPr>
        <w:tc>
          <w:tcPr>
            <w:tcW w:w="2110"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Spolu</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4</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4</w:t>
            </w:r>
          </w:p>
        </w:tc>
      </w:tr>
      <w:tr w:rsidR="00A349EC" w:rsidRPr="000B129B" w:rsidTr="000B129B">
        <w:trPr>
          <w:trHeight w:val="170"/>
        </w:trPr>
        <w:tc>
          <w:tcPr>
            <w:tcW w:w="496" w:type="dxa"/>
            <w:vMerge w:val="restart"/>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SS</w:t>
            </w: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Potravinárstvo</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3</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4</w:t>
            </w:r>
          </w:p>
        </w:tc>
      </w:tr>
      <w:tr w:rsidR="00A349EC" w:rsidRPr="000B129B" w:rsidTr="000B129B">
        <w:trPr>
          <w:trHeight w:val="170"/>
        </w:trPr>
        <w:tc>
          <w:tcPr>
            <w:tcW w:w="496"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Textilný</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r>
      <w:tr w:rsidR="00A349EC" w:rsidRPr="000B129B" w:rsidTr="000B129B">
        <w:trPr>
          <w:trHeight w:val="170"/>
        </w:trPr>
        <w:tc>
          <w:tcPr>
            <w:tcW w:w="496"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roofErr w:type="spellStart"/>
            <w:r w:rsidRPr="000B129B">
              <w:rPr>
                <w:rFonts w:ascii="Times New Roman" w:eastAsia="Calibri" w:hAnsi="Times New Roman" w:cs="Times New Roman"/>
                <w:sz w:val="24"/>
                <w:szCs w:val="24"/>
              </w:rPr>
              <w:t>Drevosprac</w:t>
            </w:r>
            <w:proofErr w:type="spellEnd"/>
            <w:r w:rsidRPr="000B129B">
              <w:rPr>
                <w:rFonts w:ascii="Times New Roman" w:eastAsia="Calibri" w:hAnsi="Times New Roman" w:cs="Times New Roman"/>
                <w:sz w:val="24"/>
                <w:szCs w:val="24"/>
              </w:rPr>
              <w:t>.</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r>
      <w:tr w:rsidR="00A349EC" w:rsidRPr="000B129B" w:rsidTr="000B129B">
        <w:trPr>
          <w:trHeight w:val="170"/>
        </w:trPr>
        <w:tc>
          <w:tcPr>
            <w:tcW w:w="496"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Stavebníctvo</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r>
      <w:tr w:rsidR="00A349EC" w:rsidRPr="000B129B" w:rsidTr="000B129B">
        <w:trPr>
          <w:trHeight w:val="170"/>
        </w:trPr>
        <w:tc>
          <w:tcPr>
            <w:tcW w:w="496" w:type="dxa"/>
            <w:vMerge/>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iné</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r>
      <w:tr w:rsidR="00A349EC" w:rsidRPr="000B129B" w:rsidTr="000B129B">
        <w:trPr>
          <w:trHeight w:val="170"/>
        </w:trPr>
        <w:tc>
          <w:tcPr>
            <w:tcW w:w="2110"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Spolu</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3</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3</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6</w:t>
            </w:r>
          </w:p>
        </w:tc>
      </w:tr>
      <w:tr w:rsidR="00A349EC" w:rsidRPr="000B129B" w:rsidTr="000B129B">
        <w:trPr>
          <w:trHeight w:val="170"/>
        </w:trPr>
        <w:tc>
          <w:tcPr>
            <w:tcW w:w="496" w:type="dxa"/>
            <w:vMerge w:val="restart"/>
            <w:tcBorders>
              <w:right w:val="single" w:sz="4" w:space="0" w:color="auto"/>
            </w:tcBorders>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TS</w:t>
            </w:r>
          </w:p>
        </w:tc>
        <w:tc>
          <w:tcPr>
            <w:tcW w:w="1614" w:type="dxa"/>
            <w:tcBorders>
              <w:left w:val="single" w:sz="4" w:space="0" w:color="auto"/>
            </w:tcBorders>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Obchod</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r>
      <w:tr w:rsidR="00A349EC" w:rsidRPr="000B129B" w:rsidTr="000B129B">
        <w:trPr>
          <w:trHeight w:val="170"/>
        </w:trPr>
        <w:tc>
          <w:tcPr>
            <w:tcW w:w="496" w:type="dxa"/>
            <w:vMerge/>
            <w:tcBorders>
              <w:right w:val="single" w:sz="4" w:space="0" w:color="auto"/>
            </w:tcBorders>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614" w:type="dxa"/>
            <w:tcBorders>
              <w:left w:val="single" w:sz="4" w:space="0" w:color="auto"/>
            </w:tcBorders>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Služby</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r>
      <w:tr w:rsidR="00A349EC" w:rsidRPr="000B129B" w:rsidTr="000B129B">
        <w:trPr>
          <w:trHeight w:val="170"/>
        </w:trPr>
        <w:tc>
          <w:tcPr>
            <w:tcW w:w="2110"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Spolu</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sz w:val="24"/>
                <w:szCs w:val="24"/>
              </w:rPr>
            </w:pPr>
            <w:r w:rsidRPr="000B129B">
              <w:rPr>
                <w:rFonts w:ascii="Times New Roman" w:eastAsia="Calibri" w:hAnsi="Times New Roman" w:cs="Times New Roman"/>
                <w:sz w:val="24"/>
                <w:szCs w:val="24"/>
              </w:rPr>
              <w:t>1</w:t>
            </w:r>
          </w:p>
        </w:tc>
      </w:tr>
      <w:tr w:rsidR="00A349EC" w:rsidRPr="000B129B" w:rsidTr="000B129B">
        <w:trPr>
          <w:trHeight w:val="170"/>
        </w:trPr>
        <w:tc>
          <w:tcPr>
            <w:tcW w:w="2110" w:type="dxa"/>
            <w:gridSpan w:val="2"/>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r w:rsidRPr="000B129B">
              <w:rPr>
                <w:rFonts w:ascii="Times New Roman" w:eastAsia="Calibri" w:hAnsi="Times New Roman" w:cs="Times New Roman"/>
                <w:b/>
                <w:sz w:val="24"/>
                <w:szCs w:val="24"/>
              </w:rPr>
              <w:t>Spolu celkom</w:t>
            </w:r>
          </w:p>
        </w:tc>
        <w:tc>
          <w:tcPr>
            <w:tcW w:w="773"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r w:rsidRPr="000B129B">
              <w:rPr>
                <w:rFonts w:ascii="Times New Roman" w:eastAsia="Calibri" w:hAnsi="Times New Roman" w:cs="Times New Roman"/>
                <w:b/>
                <w:sz w:val="24"/>
                <w:szCs w:val="24"/>
              </w:rPr>
              <w:t>4</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r w:rsidRPr="000B129B">
              <w:rPr>
                <w:rFonts w:ascii="Times New Roman" w:eastAsia="Calibri" w:hAnsi="Times New Roman" w:cs="Times New Roman"/>
                <w:b/>
                <w:sz w:val="24"/>
                <w:szCs w:val="24"/>
              </w:rPr>
              <w:t>7</w:t>
            </w:r>
          </w:p>
        </w:tc>
        <w:tc>
          <w:tcPr>
            <w:tcW w:w="1047"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p>
        </w:tc>
        <w:tc>
          <w:tcPr>
            <w:tcW w:w="728"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p>
        </w:tc>
        <w:tc>
          <w:tcPr>
            <w:tcW w:w="1020"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p>
        </w:tc>
        <w:tc>
          <w:tcPr>
            <w:tcW w:w="756"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p>
        </w:tc>
        <w:tc>
          <w:tcPr>
            <w:tcW w:w="978"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p>
        </w:tc>
        <w:tc>
          <w:tcPr>
            <w:tcW w:w="472" w:type="dxa"/>
            <w:shd w:val="clear" w:color="auto" w:fill="auto"/>
            <w:vAlign w:val="center"/>
          </w:tcPr>
          <w:p w:rsidR="00A349EC" w:rsidRPr="000B129B" w:rsidRDefault="00A349EC" w:rsidP="000B129B">
            <w:pPr>
              <w:spacing w:line="240" w:lineRule="auto"/>
              <w:rPr>
                <w:rFonts w:ascii="Times New Roman" w:eastAsia="Calibri" w:hAnsi="Times New Roman" w:cs="Times New Roman"/>
                <w:b/>
                <w:sz w:val="24"/>
                <w:szCs w:val="24"/>
              </w:rPr>
            </w:pPr>
          </w:p>
        </w:tc>
        <w:tc>
          <w:tcPr>
            <w:tcW w:w="897" w:type="dxa"/>
            <w:shd w:val="clear" w:color="auto" w:fill="auto"/>
            <w:vAlign w:val="center"/>
          </w:tcPr>
          <w:p w:rsidR="00A349EC" w:rsidRPr="000B129B" w:rsidRDefault="000B129B" w:rsidP="000B129B">
            <w:pPr>
              <w:spacing w:line="240" w:lineRule="auto"/>
              <w:rPr>
                <w:rFonts w:ascii="Times New Roman" w:eastAsia="Calibri" w:hAnsi="Times New Roman" w:cs="Times New Roman"/>
                <w:b/>
                <w:sz w:val="24"/>
                <w:szCs w:val="24"/>
              </w:rPr>
            </w:pPr>
            <w:r w:rsidRPr="000B129B">
              <w:rPr>
                <w:rFonts w:ascii="Times New Roman" w:eastAsia="Calibri" w:hAnsi="Times New Roman" w:cs="Times New Roman"/>
                <w:b/>
                <w:sz w:val="24"/>
                <w:szCs w:val="24"/>
              </w:rPr>
              <w:t>1</w:t>
            </w:r>
            <w:r>
              <w:rPr>
                <w:rFonts w:ascii="Times New Roman" w:eastAsia="Calibri" w:hAnsi="Times New Roman" w:cs="Times New Roman"/>
                <w:b/>
                <w:sz w:val="24"/>
                <w:szCs w:val="24"/>
              </w:rPr>
              <w:t>1</w:t>
            </w:r>
          </w:p>
        </w:tc>
      </w:tr>
    </w:tbl>
    <w:p w:rsidR="002B4C4B" w:rsidRDefault="000B129B" w:rsidP="00755047">
      <w:pPr>
        <w:spacing w:line="240" w:lineRule="auto"/>
        <w:rPr>
          <w:rFonts w:ascii="Times New Roman" w:hAnsi="Times New Roman" w:cs="Times New Roman"/>
          <w:sz w:val="24"/>
        </w:rPr>
      </w:pPr>
      <w:r>
        <w:rPr>
          <w:rFonts w:ascii="Times New Roman" w:hAnsi="Times New Roman" w:cs="Times New Roman"/>
          <w:sz w:val="24"/>
        </w:rPr>
        <w:t>Zdroj: Obecný úrad Rastislavice</w:t>
      </w:r>
    </w:p>
    <w:p w:rsidR="000B129B" w:rsidRDefault="006F1AB6" w:rsidP="00755047">
      <w:pPr>
        <w:spacing w:line="240" w:lineRule="auto"/>
        <w:rPr>
          <w:rFonts w:ascii="Times New Roman" w:hAnsi="Times New Roman" w:cs="Times New Roman"/>
          <w:sz w:val="24"/>
        </w:rPr>
      </w:pPr>
      <w:r>
        <w:rPr>
          <w:rFonts w:ascii="Times New Roman" w:hAnsi="Times New Roman" w:cs="Times New Roman"/>
          <w:sz w:val="24"/>
        </w:rPr>
        <w:t>Graf 15 – Štruktúra podnikov podľa sektorov</w:t>
      </w:r>
    </w:p>
    <w:p w:rsidR="006F1AB6" w:rsidRDefault="006F1AB6" w:rsidP="00755047">
      <w:pPr>
        <w:spacing w:line="240" w:lineRule="auto"/>
        <w:rPr>
          <w:rFonts w:ascii="Times New Roman" w:hAnsi="Times New Roman" w:cs="Times New Roman"/>
          <w:sz w:val="24"/>
        </w:rPr>
      </w:pPr>
      <w:r w:rsidRPr="006F1AB6">
        <w:rPr>
          <w:rFonts w:ascii="Times New Roman" w:hAnsi="Times New Roman" w:cs="Times New Roman"/>
          <w:noProof/>
          <w:sz w:val="24"/>
          <w:lang w:eastAsia="sk-SK"/>
        </w:rPr>
        <w:drawing>
          <wp:inline distT="0" distB="0" distL="0" distR="0">
            <wp:extent cx="4572000" cy="2746375"/>
            <wp:effectExtent l="19050" t="0" r="1905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F1AB6" w:rsidRDefault="006F1AB6" w:rsidP="00755047">
      <w:pPr>
        <w:spacing w:line="240" w:lineRule="auto"/>
        <w:rPr>
          <w:rFonts w:ascii="Times New Roman" w:hAnsi="Times New Roman" w:cs="Times New Roman"/>
          <w:sz w:val="24"/>
        </w:rPr>
      </w:pPr>
      <w:r>
        <w:rPr>
          <w:rFonts w:ascii="Times New Roman" w:hAnsi="Times New Roman" w:cs="Times New Roman"/>
          <w:sz w:val="24"/>
        </w:rPr>
        <w:t>Zdroj: Tabuľka 18</w:t>
      </w:r>
    </w:p>
    <w:p w:rsidR="006F1AB6" w:rsidRPr="000B129B" w:rsidRDefault="006F1AB6" w:rsidP="00755047">
      <w:pPr>
        <w:spacing w:line="240" w:lineRule="auto"/>
        <w:rPr>
          <w:rFonts w:ascii="Times New Roman" w:hAnsi="Times New Roman" w:cs="Times New Roman"/>
          <w:sz w:val="24"/>
        </w:rPr>
      </w:pPr>
    </w:p>
    <w:p w:rsidR="002B4C4B" w:rsidRPr="000E35EF" w:rsidRDefault="002B4C4B" w:rsidP="000E35EF">
      <w:pPr>
        <w:pStyle w:val="Odsekzoznamu"/>
        <w:numPr>
          <w:ilvl w:val="2"/>
          <w:numId w:val="13"/>
        </w:numPr>
        <w:spacing w:line="240" w:lineRule="auto"/>
        <w:ind w:left="1701" w:hanging="992"/>
        <w:jc w:val="both"/>
        <w:rPr>
          <w:rFonts w:ascii="Times New Roman" w:hAnsi="Times New Roman" w:cs="Times New Roman"/>
          <w:b/>
          <w:color w:val="FF0000"/>
          <w:sz w:val="28"/>
        </w:rPr>
      </w:pPr>
      <w:r w:rsidRPr="000E35EF">
        <w:rPr>
          <w:rFonts w:ascii="Times New Roman" w:hAnsi="Times New Roman" w:cs="Times New Roman"/>
          <w:b/>
          <w:color w:val="FF0000"/>
          <w:sz w:val="28"/>
        </w:rPr>
        <w:t>Materiálne zdroje</w:t>
      </w: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 xml:space="preserve">Stav </w:t>
      </w:r>
      <w:proofErr w:type="spellStart"/>
      <w:r w:rsidRPr="000E35EF">
        <w:rPr>
          <w:rFonts w:ascii="Times New Roman" w:hAnsi="Times New Roman" w:cs="Times New Roman"/>
          <w:b/>
          <w:i/>
          <w:color w:val="FF0000"/>
          <w:sz w:val="24"/>
        </w:rPr>
        <w:t>vysporiadania</w:t>
      </w:r>
      <w:proofErr w:type="spellEnd"/>
      <w:r w:rsidRPr="000E35EF">
        <w:rPr>
          <w:rFonts w:ascii="Times New Roman" w:hAnsi="Times New Roman" w:cs="Times New Roman"/>
          <w:b/>
          <w:i/>
          <w:color w:val="FF0000"/>
          <w:sz w:val="24"/>
        </w:rPr>
        <w:t xml:space="preserve"> vlastníckych vzťahov</w:t>
      </w:r>
    </w:p>
    <w:p w:rsidR="00E80E90" w:rsidRPr="000E35EF" w:rsidRDefault="000E35EF" w:rsidP="00755047">
      <w:pPr>
        <w:spacing w:line="240" w:lineRule="auto"/>
        <w:rPr>
          <w:rFonts w:ascii="Times New Roman" w:hAnsi="Times New Roman" w:cs="Times New Roman"/>
          <w:color w:val="FF0000"/>
          <w:sz w:val="24"/>
        </w:rPr>
      </w:pPr>
      <w:r w:rsidRPr="000E35EF">
        <w:rPr>
          <w:rFonts w:ascii="Times New Roman" w:hAnsi="Times New Roman" w:cs="Times New Roman"/>
          <w:color w:val="FF0000"/>
          <w:sz w:val="24"/>
        </w:rPr>
        <w:t>Register obnovy evidencie pozemkov bol ukončený v roku ....................</w:t>
      </w:r>
    </w:p>
    <w:p w:rsidR="002B4C4B" w:rsidRPr="000E35EF" w:rsidRDefault="002B4C4B" w:rsidP="00755047">
      <w:pPr>
        <w:spacing w:line="240" w:lineRule="auto"/>
        <w:rPr>
          <w:rFonts w:ascii="Times New Roman" w:hAnsi="Times New Roman" w:cs="Times New Roman"/>
          <w:b/>
          <w:i/>
          <w:color w:val="FF0000"/>
          <w:sz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Stav územnoplánovacej dokumentácie a PHSR</w:t>
      </w:r>
    </w:p>
    <w:p w:rsidR="00E80E90" w:rsidRPr="000E35EF" w:rsidRDefault="000E35EF" w:rsidP="00755047">
      <w:pPr>
        <w:spacing w:line="240" w:lineRule="auto"/>
        <w:rPr>
          <w:rFonts w:ascii="Times New Roman" w:hAnsi="Times New Roman" w:cs="Times New Roman"/>
          <w:color w:val="FF0000"/>
          <w:sz w:val="24"/>
        </w:rPr>
      </w:pPr>
      <w:proofErr w:type="spellStart"/>
      <w:r w:rsidRPr="000E35EF">
        <w:rPr>
          <w:rFonts w:ascii="Times New Roman" w:hAnsi="Times New Roman" w:cs="Times New Roman"/>
          <w:color w:val="FF0000"/>
          <w:sz w:val="24"/>
        </w:rPr>
        <w:t>Územno</w:t>
      </w:r>
      <w:proofErr w:type="spellEnd"/>
      <w:r w:rsidRPr="000E35EF">
        <w:rPr>
          <w:rFonts w:ascii="Times New Roman" w:hAnsi="Times New Roman" w:cs="Times New Roman"/>
          <w:color w:val="FF0000"/>
          <w:sz w:val="24"/>
        </w:rPr>
        <w:t xml:space="preserve"> – plánovacia dokumentácia a jej doplnky sú v platnosti od.................</w:t>
      </w:r>
    </w:p>
    <w:p w:rsidR="002B4C4B" w:rsidRPr="00A349EC" w:rsidRDefault="002B4C4B" w:rsidP="00755047">
      <w:pPr>
        <w:spacing w:line="240" w:lineRule="auto"/>
        <w:rPr>
          <w:rFonts w:ascii="Times New Roman" w:hAnsi="Times New Roman" w:cs="Times New Roman"/>
          <w:b/>
          <w:i/>
          <w:sz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Infraštruktúra obce</w:t>
      </w:r>
    </w:p>
    <w:p w:rsidR="006F1AB6" w:rsidRDefault="006F1AB6" w:rsidP="006F1AB6">
      <w:pPr>
        <w:spacing w:line="240" w:lineRule="auto"/>
        <w:jc w:val="both"/>
        <w:rPr>
          <w:rFonts w:ascii="Times New Roman" w:eastAsia="Times New Roman" w:hAnsi="Times New Roman" w:cs="Times New Roman"/>
          <w:bCs/>
          <w:sz w:val="24"/>
          <w:szCs w:val="24"/>
          <w:lang w:eastAsia="sk-SK"/>
        </w:rPr>
      </w:pPr>
      <w:r w:rsidRPr="006F1AB6">
        <w:rPr>
          <w:rFonts w:ascii="Times New Roman" w:eastAsia="Times New Roman" w:hAnsi="Times New Roman" w:cs="Times New Roman"/>
          <w:bCs/>
          <w:sz w:val="24"/>
          <w:szCs w:val="24"/>
          <w:lang w:eastAsia="sk-SK"/>
        </w:rPr>
        <w:t xml:space="preserve">V nasledujúcej tabuľke sú informácie o technickej infraštruktúre obce </w:t>
      </w:r>
      <w:r>
        <w:rPr>
          <w:rFonts w:ascii="Times New Roman" w:eastAsia="Times New Roman" w:hAnsi="Times New Roman" w:cs="Times New Roman"/>
          <w:bCs/>
          <w:sz w:val="24"/>
          <w:szCs w:val="24"/>
          <w:lang w:eastAsia="sk-SK"/>
        </w:rPr>
        <w:t>Rastislavice:</w:t>
      </w:r>
    </w:p>
    <w:p w:rsidR="00A349EC" w:rsidRDefault="00A349EC" w:rsidP="00755047">
      <w:pPr>
        <w:spacing w:line="240" w:lineRule="auto"/>
        <w:jc w:val="both"/>
        <w:rPr>
          <w:rFonts w:ascii="Calibri" w:eastAsia="Calibri" w:hAnsi="Calibri" w:cs="Times New Roman"/>
        </w:rPr>
      </w:pPr>
      <w:r w:rsidRPr="006F1AB6">
        <w:rPr>
          <w:rFonts w:ascii="Times New Roman" w:hAnsi="Times New Roman"/>
          <w:sz w:val="24"/>
          <w:szCs w:val="24"/>
        </w:rPr>
        <w:t xml:space="preserve">Tabuľka </w:t>
      </w:r>
      <w:r w:rsidR="006F1AB6">
        <w:rPr>
          <w:rFonts w:ascii="Times New Roman" w:hAnsi="Times New Roman"/>
          <w:sz w:val="24"/>
          <w:szCs w:val="24"/>
        </w:rPr>
        <w:t>19</w:t>
      </w:r>
      <w:r w:rsidRPr="006F1AB6">
        <w:rPr>
          <w:rFonts w:ascii="Times New Roman" w:hAnsi="Times New Roman"/>
          <w:sz w:val="24"/>
          <w:szCs w:val="24"/>
        </w:rPr>
        <w:t xml:space="preserve"> – Vybavenosť obce technickou infraštruktúrou</w:t>
      </w:r>
    </w:p>
    <w:tbl>
      <w:tblPr>
        <w:tblW w:w="4420" w:type="dxa"/>
        <w:tblCellMar>
          <w:left w:w="0" w:type="dxa"/>
          <w:right w:w="0" w:type="dxa"/>
        </w:tblCellMar>
        <w:tblLook w:val="0000" w:firstRow="0" w:lastRow="0" w:firstColumn="0" w:lastColumn="0" w:noHBand="0" w:noVBand="0"/>
      </w:tblPr>
      <w:tblGrid>
        <w:gridCol w:w="2232"/>
        <w:gridCol w:w="2188"/>
      </w:tblGrid>
      <w:tr w:rsidR="00A349EC" w:rsidRPr="006F1AB6" w:rsidTr="006F1AB6">
        <w:trPr>
          <w:trHeight w:hRule="exact" w:val="57"/>
        </w:trPr>
        <w:tc>
          <w:tcPr>
            <w:tcW w:w="2232" w:type="dxa"/>
            <w:vMerge w:val="restart"/>
            <w:tcBorders>
              <w:top w:val="single" w:sz="8" w:space="0" w:color="auto"/>
              <w:left w:val="single" w:sz="8" w:space="0" w:color="auto"/>
              <w:bottom w:val="single" w:sz="8" w:space="0" w:color="000000"/>
              <w:right w:val="nil"/>
            </w:tcBorders>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lastRenderedPageBreak/>
              <w:t>Infraštruktúra</w:t>
            </w:r>
          </w:p>
        </w:tc>
        <w:tc>
          <w:tcPr>
            <w:tcW w:w="2188" w:type="dxa"/>
            <w:vMerge w:val="restart"/>
            <w:tcBorders>
              <w:top w:val="single" w:sz="8" w:space="0" w:color="auto"/>
              <w:left w:val="single" w:sz="8" w:space="0" w:color="auto"/>
              <w:bottom w:val="single" w:sz="8" w:space="0" w:color="000000"/>
              <w:right w:val="single" w:sz="8" w:space="0" w:color="auto"/>
            </w:tcBorders>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Obec</w:t>
            </w:r>
          </w:p>
        </w:tc>
      </w:tr>
      <w:tr w:rsidR="00A349EC" w:rsidRPr="006F1AB6" w:rsidTr="006F1AB6">
        <w:trPr>
          <w:trHeight w:hRule="exact" w:val="397"/>
        </w:trPr>
        <w:tc>
          <w:tcPr>
            <w:tcW w:w="0" w:type="auto"/>
            <w:vMerge/>
            <w:tcBorders>
              <w:top w:val="single" w:sz="8" w:space="0" w:color="auto"/>
              <w:left w:val="single" w:sz="8" w:space="0" w:color="auto"/>
              <w:bottom w:val="single" w:sz="8" w:space="0" w:color="000000"/>
              <w:right w:val="nil"/>
            </w:tcBorders>
            <w:vAlign w:val="center"/>
          </w:tcPr>
          <w:p w:rsidR="00A349EC" w:rsidRPr="006F1AB6" w:rsidRDefault="00A349EC" w:rsidP="006F1AB6">
            <w:pPr>
              <w:spacing w:line="240" w:lineRule="auto"/>
              <w:rPr>
                <w:rFonts w:ascii="Times New Roman" w:eastAsia="Calibri" w:hAnsi="Times New Roman" w:cs="Times New Roman"/>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A349EC" w:rsidRPr="006F1AB6" w:rsidRDefault="00A349EC" w:rsidP="006F1AB6">
            <w:pPr>
              <w:spacing w:line="240" w:lineRule="auto"/>
              <w:jc w:val="center"/>
              <w:rPr>
                <w:rFonts w:ascii="Times New Roman" w:eastAsia="Calibri" w:hAnsi="Times New Roman" w:cs="Times New Roman"/>
                <w:b/>
                <w:bCs/>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Cestná sieť v km</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26</w:t>
            </w: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cesty I. triedy</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vMerge w:val="restart"/>
            <w:tcBorders>
              <w:top w:val="nil"/>
              <w:left w:val="single" w:sz="8" w:space="0" w:color="auto"/>
              <w:right w:val="nil"/>
            </w:tcBorders>
            <w:noWrap/>
            <w:tcMar>
              <w:top w:w="16" w:type="dxa"/>
              <w:left w:w="16" w:type="dxa"/>
              <w:bottom w:w="0" w:type="dxa"/>
              <w:right w:w="16" w:type="dxa"/>
            </w:tcMar>
            <w:vAlign w:val="center"/>
          </w:tcPr>
          <w:p w:rsid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 xml:space="preserve">cesty II. </w:t>
            </w:r>
            <w:r w:rsidR="006F1AB6">
              <w:rPr>
                <w:rFonts w:ascii="Times New Roman" w:eastAsia="Calibri" w:hAnsi="Times New Roman" w:cs="Times New Roman"/>
                <w:sz w:val="24"/>
                <w:szCs w:val="24"/>
              </w:rPr>
              <w:t>t</w:t>
            </w:r>
            <w:r w:rsidRPr="006F1AB6">
              <w:rPr>
                <w:rFonts w:ascii="Times New Roman" w:eastAsia="Calibri" w:hAnsi="Times New Roman" w:cs="Times New Roman"/>
                <w:sz w:val="24"/>
                <w:szCs w:val="24"/>
              </w:rPr>
              <w:t>riedy</w:t>
            </w:r>
          </w:p>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 xml:space="preserve">cesty III. </w:t>
            </w:r>
            <w:r w:rsidR="006F1AB6" w:rsidRPr="006F1AB6">
              <w:rPr>
                <w:rFonts w:ascii="Times New Roman" w:eastAsia="Calibri" w:hAnsi="Times New Roman" w:cs="Times New Roman"/>
                <w:sz w:val="24"/>
                <w:szCs w:val="24"/>
              </w:rPr>
              <w:t>T</w:t>
            </w:r>
            <w:r w:rsidRPr="006F1AB6">
              <w:rPr>
                <w:rFonts w:ascii="Times New Roman" w:eastAsia="Calibri" w:hAnsi="Times New Roman" w:cs="Times New Roman"/>
                <w:sz w:val="24"/>
                <w:szCs w:val="24"/>
              </w:rPr>
              <w:t>riedy</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vMerge/>
            <w:tcBorders>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5</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Ostatné</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21</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Železničná sieť v</w:t>
            </w:r>
            <w:r w:rsidR="006F1AB6">
              <w:rPr>
                <w:rFonts w:ascii="Times New Roman" w:eastAsia="Calibri" w:hAnsi="Times New Roman" w:cs="Times New Roman"/>
                <w:sz w:val="24"/>
                <w:szCs w:val="24"/>
              </w:rPr>
              <w:t> </w:t>
            </w:r>
            <w:r w:rsidRPr="006F1AB6">
              <w:rPr>
                <w:rFonts w:ascii="Times New Roman" w:eastAsia="Calibri" w:hAnsi="Times New Roman" w:cs="Times New Roman"/>
                <w:sz w:val="24"/>
                <w:szCs w:val="24"/>
              </w:rPr>
              <w:t>km</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Plyn v</w:t>
            </w:r>
            <w:r w:rsidR="006F1AB6">
              <w:rPr>
                <w:rFonts w:ascii="Times New Roman" w:eastAsia="Calibri" w:hAnsi="Times New Roman" w:cs="Times New Roman"/>
                <w:sz w:val="24"/>
                <w:szCs w:val="24"/>
              </w:rPr>
              <w:t> </w:t>
            </w:r>
            <w:proofErr w:type="spellStart"/>
            <w:r w:rsidRPr="006F1AB6">
              <w:rPr>
                <w:rFonts w:ascii="Times New Roman" w:eastAsia="Calibri" w:hAnsi="Times New Roman" w:cs="Times New Roman"/>
                <w:sz w:val="24"/>
                <w:szCs w:val="24"/>
              </w:rPr>
              <w:t>bm</w:t>
            </w:r>
            <w:proofErr w:type="spellEnd"/>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9500</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Kanalizácia v</w:t>
            </w:r>
            <w:r w:rsidR="006F1AB6">
              <w:rPr>
                <w:rFonts w:ascii="Times New Roman" w:eastAsia="Calibri" w:hAnsi="Times New Roman" w:cs="Times New Roman"/>
                <w:sz w:val="24"/>
                <w:szCs w:val="24"/>
              </w:rPr>
              <w:t> </w:t>
            </w:r>
            <w:proofErr w:type="spellStart"/>
            <w:r w:rsidRPr="006F1AB6">
              <w:rPr>
                <w:rFonts w:ascii="Times New Roman" w:eastAsia="Calibri" w:hAnsi="Times New Roman" w:cs="Times New Roman"/>
                <w:sz w:val="24"/>
                <w:szCs w:val="24"/>
              </w:rPr>
              <w:t>bm</w:t>
            </w:r>
            <w:proofErr w:type="spellEnd"/>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ČOV</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Vodovod v</w:t>
            </w:r>
            <w:r w:rsidR="006F1AB6">
              <w:rPr>
                <w:rFonts w:ascii="Times New Roman" w:eastAsia="Calibri" w:hAnsi="Times New Roman" w:cs="Times New Roman"/>
                <w:sz w:val="24"/>
                <w:szCs w:val="24"/>
              </w:rPr>
              <w:t> </w:t>
            </w:r>
            <w:proofErr w:type="spellStart"/>
            <w:r w:rsidRPr="006F1AB6">
              <w:rPr>
                <w:rFonts w:ascii="Times New Roman" w:eastAsia="Calibri" w:hAnsi="Times New Roman" w:cs="Times New Roman"/>
                <w:sz w:val="24"/>
                <w:szCs w:val="24"/>
              </w:rPr>
              <w:t>bm</w:t>
            </w:r>
            <w:proofErr w:type="spellEnd"/>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7500</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Vodný zdroj</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2</w:t>
            </w: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Zber TKO</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Klasický</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X</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Separovaný</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X</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Domové ČOV</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10</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Spôsob vykurovania</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Vedenie el. energie</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Vzdušné</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X</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Káblové</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proofErr w:type="spellStart"/>
            <w:r w:rsidRPr="006F1AB6">
              <w:rPr>
                <w:rFonts w:ascii="Times New Roman" w:eastAsia="Calibri" w:hAnsi="Times New Roman" w:cs="Times New Roman"/>
                <w:sz w:val="24"/>
                <w:szCs w:val="24"/>
              </w:rPr>
              <w:t>Želez</w:t>
            </w:r>
            <w:proofErr w:type="spellEnd"/>
            <w:r w:rsidRPr="006F1AB6">
              <w:rPr>
                <w:rFonts w:ascii="Times New Roman" w:eastAsia="Calibri" w:hAnsi="Times New Roman" w:cs="Times New Roman"/>
                <w:sz w:val="24"/>
                <w:szCs w:val="24"/>
              </w:rPr>
              <w:t xml:space="preserve">. </w:t>
            </w:r>
            <w:r w:rsidR="006F1AB6" w:rsidRPr="006F1AB6">
              <w:rPr>
                <w:rFonts w:ascii="Times New Roman" w:eastAsia="Calibri" w:hAnsi="Times New Roman" w:cs="Times New Roman"/>
                <w:sz w:val="24"/>
                <w:szCs w:val="24"/>
              </w:rPr>
              <w:t>S</w:t>
            </w:r>
            <w:r w:rsidRPr="006F1AB6">
              <w:rPr>
                <w:rFonts w:ascii="Times New Roman" w:eastAsia="Calibri" w:hAnsi="Times New Roman" w:cs="Times New Roman"/>
                <w:sz w:val="24"/>
                <w:szCs w:val="24"/>
              </w:rPr>
              <w:t>tanica</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Vlakové spoje</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proofErr w:type="spellStart"/>
            <w:r w:rsidRPr="006F1AB6">
              <w:rPr>
                <w:rFonts w:ascii="Times New Roman" w:eastAsia="Calibri" w:hAnsi="Times New Roman" w:cs="Times New Roman"/>
                <w:sz w:val="24"/>
                <w:szCs w:val="24"/>
              </w:rPr>
              <w:t>Želez</w:t>
            </w:r>
            <w:proofErr w:type="spellEnd"/>
            <w:r w:rsidRPr="006F1AB6">
              <w:rPr>
                <w:rFonts w:ascii="Times New Roman" w:eastAsia="Calibri" w:hAnsi="Times New Roman" w:cs="Times New Roman"/>
                <w:sz w:val="24"/>
                <w:szCs w:val="24"/>
              </w:rPr>
              <w:t xml:space="preserve">. </w:t>
            </w:r>
            <w:r w:rsidR="006F1AB6" w:rsidRPr="006F1AB6">
              <w:rPr>
                <w:rFonts w:ascii="Times New Roman" w:eastAsia="Calibri" w:hAnsi="Times New Roman" w:cs="Times New Roman"/>
                <w:sz w:val="24"/>
                <w:szCs w:val="24"/>
              </w:rPr>
              <w:t>Z</w:t>
            </w:r>
            <w:r w:rsidRPr="006F1AB6">
              <w:rPr>
                <w:rFonts w:ascii="Times New Roman" w:eastAsia="Calibri" w:hAnsi="Times New Roman" w:cs="Times New Roman"/>
                <w:sz w:val="24"/>
                <w:szCs w:val="24"/>
              </w:rPr>
              <w:t>astávka</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4</w:t>
            </w: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 xml:space="preserve">Autobus. </w:t>
            </w:r>
            <w:r w:rsidR="006F1AB6" w:rsidRPr="006F1AB6">
              <w:rPr>
                <w:rFonts w:ascii="Times New Roman" w:eastAsia="Calibri" w:hAnsi="Times New Roman" w:cs="Times New Roman"/>
                <w:sz w:val="24"/>
                <w:szCs w:val="24"/>
              </w:rPr>
              <w:t>S</w:t>
            </w:r>
            <w:r w:rsidRPr="006F1AB6">
              <w:rPr>
                <w:rFonts w:ascii="Times New Roman" w:eastAsia="Calibri" w:hAnsi="Times New Roman" w:cs="Times New Roman"/>
                <w:sz w:val="24"/>
                <w:szCs w:val="24"/>
              </w:rPr>
              <w:t>tanica</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nil"/>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proofErr w:type="spellStart"/>
            <w:r w:rsidRPr="006F1AB6">
              <w:rPr>
                <w:rFonts w:ascii="Times New Roman" w:eastAsia="Calibri" w:hAnsi="Times New Roman" w:cs="Times New Roman"/>
                <w:sz w:val="24"/>
                <w:szCs w:val="24"/>
              </w:rPr>
              <w:t>Autob</w:t>
            </w:r>
            <w:proofErr w:type="spellEnd"/>
            <w:r w:rsidRPr="006F1AB6">
              <w:rPr>
                <w:rFonts w:ascii="Times New Roman" w:eastAsia="Calibri" w:hAnsi="Times New Roman" w:cs="Times New Roman"/>
                <w:sz w:val="24"/>
                <w:szCs w:val="24"/>
              </w:rPr>
              <w:t xml:space="preserve">. </w:t>
            </w:r>
            <w:r w:rsidR="006F1AB6" w:rsidRPr="006F1AB6">
              <w:rPr>
                <w:rFonts w:ascii="Times New Roman" w:eastAsia="Calibri" w:hAnsi="Times New Roman" w:cs="Times New Roman"/>
                <w:sz w:val="24"/>
                <w:szCs w:val="24"/>
              </w:rPr>
              <w:t>S</w:t>
            </w:r>
            <w:r w:rsidRPr="006F1AB6">
              <w:rPr>
                <w:rFonts w:ascii="Times New Roman" w:eastAsia="Calibri" w:hAnsi="Times New Roman" w:cs="Times New Roman"/>
                <w:sz w:val="24"/>
                <w:szCs w:val="24"/>
              </w:rPr>
              <w:t>pojenie</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Z toho expresné</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Telefónny rozvod</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1</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Rozhlas</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r w:rsidRPr="006F1AB6">
              <w:rPr>
                <w:rFonts w:ascii="Times New Roman" w:eastAsia="Calibri" w:hAnsi="Times New Roman" w:cs="Times New Roman"/>
                <w:sz w:val="24"/>
                <w:szCs w:val="24"/>
              </w:rPr>
              <w:t>1</w:t>
            </w: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Káblová TV</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4"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Regionálne trasy TI</w:t>
            </w:r>
          </w:p>
        </w:tc>
        <w:tc>
          <w:tcPr>
            <w:tcW w:w="0" w:type="auto"/>
            <w:tcBorders>
              <w:top w:val="nil"/>
              <w:left w:val="single" w:sz="8" w:space="0" w:color="auto"/>
              <w:bottom w:val="single" w:sz="4"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r w:rsidR="00A349EC" w:rsidRPr="006F1AB6" w:rsidTr="006F1AB6">
        <w:trPr>
          <w:trHeight w:hRule="exact" w:val="397"/>
        </w:trPr>
        <w:tc>
          <w:tcPr>
            <w:tcW w:w="0" w:type="auto"/>
            <w:tcBorders>
              <w:top w:val="nil"/>
              <w:left w:val="single" w:sz="8" w:space="0" w:color="auto"/>
              <w:bottom w:val="single" w:sz="8" w:space="0" w:color="auto"/>
              <w:right w:val="nil"/>
            </w:tcBorders>
            <w:noWrap/>
            <w:tcMar>
              <w:top w:w="16" w:type="dxa"/>
              <w:left w:w="16" w:type="dxa"/>
              <w:bottom w:w="0" w:type="dxa"/>
              <w:right w:w="16" w:type="dxa"/>
            </w:tcMar>
            <w:vAlign w:val="center"/>
          </w:tcPr>
          <w:p w:rsidR="00A349EC" w:rsidRPr="006F1AB6" w:rsidRDefault="00A349EC" w:rsidP="006F1AB6">
            <w:pPr>
              <w:spacing w:line="240" w:lineRule="auto"/>
              <w:rPr>
                <w:rFonts w:ascii="Times New Roman" w:eastAsia="Calibri" w:hAnsi="Times New Roman" w:cs="Times New Roman"/>
                <w:sz w:val="24"/>
                <w:szCs w:val="24"/>
              </w:rPr>
            </w:pPr>
            <w:r w:rsidRPr="006F1AB6">
              <w:rPr>
                <w:rFonts w:ascii="Times New Roman" w:eastAsia="Calibri" w:hAnsi="Times New Roman" w:cs="Times New Roman"/>
                <w:sz w:val="24"/>
                <w:szCs w:val="24"/>
              </w:rPr>
              <w:t>Medzinárodné trasy TI</w:t>
            </w: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rsidR="00A349EC" w:rsidRPr="006F1AB6" w:rsidRDefault="00A349EC" w:rsidP="006F1AB6">
            <w:pPr>
              <w:spacing w:line="240" w:lineRule="auto"/>
              <w:jc w:val="center"/>
              <w:rPr>
                <w:rFonts w:ascii="Times New Roman" w:eastAsia="Calibri" w:hAnsi="Times New Roman" w:cs="Times New Roman"/>
                <w:sz w:val="24"/>
                <w:szCs w:val="24"/>
              </w:rPr>
            </w:pPr>
          </w:p>
        </w:tc>
      </w:tr>
    </w:tbl>
    <w:p w:rsidR="002B4C4B" w:rsidRDefault="006F1AB6" w:rsidP="00755047">
      <w:pPr>
        <w:spacing w:line="240" w:lineRule="auto"/>
        <w:rPr>
          <w:rFonts w:ascii="Times New Roman" w:hAnsi="Times New Roman" w:cs="Times New Roman"/>
          <w:sz w:val="24"/>
        </w:rPr>
      </w:pPr>
      <w:r>
        <w:rPr>
          <w:rFonts w:ascii="Times New Roman" w:hAnsi="Times New Roman" w:cs="Times New Roman"/>
          <w:sz w:val="24"/>
        </w:rPr>
        <w:t>Zdroj: Obecný úrad Rastislavice</w:t>
      </w:r>
    </w:p>
    <w:p w:rsidR="006C3EA1" w:rsidRDefault="006C3EA1" w:rsidP="00755047">
      <w:pPr>
        <w:spacing w:line="240" w:lineRule="auto"/>
        <w:rPr>
          <w:rFonts w:ascii="Times New Roman" w:hAnsi="Times New Roman" w:cs="Times New Roman"/>
          <w:sz w:val="24"/>
        </w:rPr>
      </w:pPr>
      <w:r>
        <w:rPr>
          <w:rFonts w:ascii="Times New Roman" w:hAnsi="Times New Roman" w:cs="Times New Roman"/>
          <w:sz w:val="24"/>
        </w:rPr>
        <w:t>Domový a bytový fond je vybavený nasledujúcou technickou infraštruktúrou:</w:t>
      </w:r>
    </w:p>
    <w:p w:rsidR="006C3EA1" w:rsidRPr="006C3EA1" w:rsidRDefault="006C3EA1" w:rsidP="006C3EA1">
      <w:pPr>
        <w:spacing w:line="240" w:lineRule="auto"/>
        <w:rPr>
          <w:rFonts w:ascii="Times New Roman" w:hAnsi="Times New Roman" w:cs="Times New Roman"/>
          <w:sz w:val="24"/>
        </w:rPr>
      </w:pPr>
      <w:r w:rsidRPr="006C3EA1">
        <w:rPr>
          <w:rFonts w:ascii="Times New Roman" w:hAnsi="Times New Roman" w:cs="Times New Roman"/>
          <w:sz w:val="24"/>
        </w:rPr>
        <w:t xml:space="preserve">Tabuľka  -  Vybavenie obývaných bytov technickou infraštruktúrou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35"/>
        <w:gridCol w:w="1219"/>
      </w:tblGrid>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b/>
                <w:bCs/>
                <w:sz w:val="24"/>
                <w:szCs w:val="24"/>
              </w:rPr>
            </w:pPr>
            <w:r w:rsidRPr="006C3EA1">
              <w:rPr>
                <w:rFonts w:ascii="Times New Roman" w:eastAsia="Calibri" w:hAnsi="Times New Roman" w:cs="Times New Roman"/>
                <w:b/>
                <w:bCs/>
                <w:sz w:val="24"/>
                <w:szCs w:val="24"/>
              </w:rPr>
              <w:lastRenderedPageBreak/>
              <w:t>Vybavenie bytov</w:t>
            </w:r>
          </w:p>
        </w:tc>
        <w:tc>
          <w:tcPr>
            <w:tcW w:w="1235" w:type="dxa"/>
            <w:vAlign w:val="center"/>
          </w:tcPr>
          <w:p w:rsidR="006C3EA1" w:rsidRPr="006C3EA1" w:rsidRDefault="006C3EA1" w:rsidP="006C3EA1">
            <w:pPr>
              <w:spacing w:line="240" w:lineRule="auto"/>
              <w:rPr>
                <w:rFonts w:ascii="Times New Roman" w:eastAsia="Calibri" w:hAnsi="Times New Roman" w:cs="Times New Roman"/>
                <w:b/>
                <w:bCs/>
                <w:sz w:val="24"/>
                <w:szCs w:val="24"/>
              </w:rPr>
            </w:pPr>
            <w:r w:rsidRPr="006C3EA1">
              <w:rPr>
                <w:rFonts w:ascii="Times New Roman" w:eastAsia="Calibri" w:hAnsi="Times New Roman" w:cs="Times New Roman"/>
                <w:b/>
                <w:bCs/>
                <w:sz w:val="24"/>
                <w:szCs w:val="24"/>
              </w:rPr>
              <w:t>Počet</w:t>
            </w:r>
          </w:p>
        </w:tc>
        <w:tc>
          <w:tcPr>
            <w:tcW w:w="1219" w:type="dxa"/>
            <w:vAlign w:val="center"/>
          </w:tcPr>
          <w:p w:rsidR="006C3EA1" w:rsidRPr="006C3EA1" w:rsidRDefault="006C3EA1" w:rsidP="006C3EA1">
            <w:pPr>
              <w:spacing w:line="240" w:lineRule="auto"/>
              <w:rPr>
                <w:rFonts w:ascii="Times New Roman" w:eastAsia="Calibri" w:hAnsi="Times New Roman" w:cs="Times New Roman"/>
                <w:b/>
                <w:bCs/>
                <w:sz w:val="24"/>
                <w:szCs w:val="24"/>
              </w:rPr>
            </w:pPr>
            <w:r w:rsidRPr="006C3EA1">
              <w:rPr>
                <w:rFonts w:ascii="Times New Roman" w:eastAsia="Calibri" w:hAnsi="Times New Roman" w:cs="Times New Roman"/>
                <w:b/>
                <w:bCs/>
                <w:sz w:val="24"/>
                <w:szCs w:val="24"/>
              </w:rPr>
              <w:t>%</w:t>
            </w: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Bytov spolu</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48</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S plynom</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30</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62,5</w:t>
            </w: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S vodovodom</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42</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87,5</w:t>
            </w: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S kanalizačnou prípojkou</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Septikom alebo domácou ČOV</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48</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100</w:t>
            </w: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Splachovacím záchodom</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48</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100</w:t>
            </w: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Kúpeľňou</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48</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100</w:t>
            </w:r>
          </w:p>
        </w:tc>
      </w:tr>
      <w:tr w:rsidR="006C3EA1" w:rsidRPr="006C3EA1" w:rsidTr="006C3EA1">
        <w:trPr>
          <w:trHeight w:val="340"/>
        </w:trPr>
        <w:tc>
          <w:tcPr>
            <w:tcW w:w="3472"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Internetom</w:t>
            </w:r>
          </w:p>
        </w:tc>
        <w:tc>
          <w:tcPr>
            <w:tcW w:w="1235"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48</w:t>
            </w:r>
          </w:p>
        </w:tc>
        <w:tc>
          <w:tcPr>
            <w:tcW w:w="1219" w:type="dxa"/>
            <w:vAlign w:val="center"/>
          </w:tcPr>
          <w:p w:rsidR="006C3EA1" w:rsidRPr="006C3EA1" w:rsidRDefault="006C3EA1" w:rsidP="006C3EA1">
            <w:pPr>
              <w:spacing w:line="240" w:lineRule="auto"/>
              <w:rPr>
                <w:rFonts w:ascii="Times New Roman" w:eastAsia="Calibri" w:hAnsi="Times New Roman" w:cs="Times New Roman"/>
                <w:sz w:val="24"/>
                <w:szCs w:val="24"/>
              </w:rPr>
            </w:pPr>
            <w:r w:rsidRPr="006C3EA1">
              <w:rPr>
                <w:rFonts w:ascii="Times New Roman" w:eastAsia="Calibri" w:hAnsi="Times New Roman" w:cs="Times New Roman"/>
                <w:sz w:val="24"/>
                <w:szCs w:val="24"/>
              </w:rPr>
              <w:t>100</w:t>
            </w:r>
          </w:p>
        </w:tc>
      </w:tr>
    </w:tbl>
    <w:p w:rsidR="006F1AB6" w:rsidRDefault="006C3EA1" w:rsidP="00755047">
      <w:pPr>
        <w:spacing w:line="240" w:lineRule="auto"/>
        <w:rPr>
          <w:rFonts w:ascii="Times New Roman" w:hAnsi="Times New Roman" w:cs="Times New Roman"/>
          <w:sz w:val="24"/>
        </w:rPr>
      </w:pPr>
      <w:r>
        <w:rPr>
          <w:rFonts w:ascii="Times New Roman" w:hAnsi="Times New Roman" w:cs="Times New Roman"/>
          <w:sz w:val="24"/>
        </w:rPr>
        <w:t>Zdroj: Obecný úrad Rastislavice</w:t>
      </w:r>
    </w:p>
    <w:p w:rsidR="006F1AB6" w:rsidRPr="006F1AB6" w:rsidRDefault="006F1AB6" w:rsidP="00755047">
      <w:pPr>
        <w:spacing w:line="240" w:lineRule="auto"/>
        <w:rPr>
          <w:rFonts w:ascii="Times New Roman" w:hAnsi="Times New Roman" w:cs="Times New Roman"/>
          <w:sz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Domový a bytový fond</w:t>
      </w:r>
    </w:p>
    <w:p w:rsidR="00D930BC" w:rsidRPr="00D930BC" w:rsidRDefault="00D930BC" w:rsidP="00D930BC">
      <w:pPr>
        <w:spacing w:line="240" w:lineRule="auto"/>
        <w:jc w:val="both"/>
        <w:rPr>
          <w:rFonts w:ascii="Times New Roman" w:eastAsia="Calibri" w:hAnsi="Times New Roman" w:cs="Times New Roman"/>
          <w:sz w:val="24"/>
          <w:szCs w:val="24"/>
        </w:rPr>
      </w:pPr>
      <w:r w:rsidRPr="00D930BC">
        <w:rPr>
          <w:rFonts w:ascii="Times New Roman" w:eastAsia="Calibri" w:hAnsi="Times New Roman" w:cs="Times New Roman"/>
          <w:sz w:val="24"/>
          <w:szCs w:val="24"/>
        </w:rPr>
        <w:t>V nasledujúcej tabuľke sú informácie o domovom a bytovom fonde.</w:t>
      </w:r>
    </w:p>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 xml:space="preserve">Tabuľka </w:t>
      </w:r>
      <w:r w:rsidR="00D930BC">
        <w:rPr>
          <w:rFonts w:ascii="Times New Roman" w:eastAsia="Calibri" w:hAnsi="Times New Roman" w:cs="Times New Roman"/>
          <w:sz w:val="24"/>
          <w:szCs w:val="24"/>
        </w:rPr>
        <w:t xml:space="preserve">20 </w:t>
      </w:r>
      <w:r w:rsidRPr="006F1AB6">
        <w:rPr>
          <w:rFonts w:ascii="Times New Roman" w:eastAsia="Calibri" w:hAnsi="Times New Roman" w:cs="Times New Roman"/>
          <w:sz w:val="24"/>
          <w:szCs w:val="24"/>
        </w:rPr>
        <w:t xml:space="preserve">– Domový a bytový fond obce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8"/>
        <w:gridCol w:w="1541"/>
        <w:gridCol w:w="1356"/>
        <w:gridCol w:w="1440"/>
        <w:gridCol w:w="1776"/>
      </w:tblGrid>
      <w:tr w:rsidR="00A349EC" w:rsidRPr="00D930BC" w:rsidTr="00D930BC">
        <w:trPr>
          <w:trHeight w:hRule="exact" w:val="624"/>
          <w:jc w:val="center"/>
        </w:trPr>
        <w:tc>
          <w:tcPr>
            <w:tcW w:w="3038" w:type="dxa"/>
            <w:vAlign w:val="center"/>
          </w:tcPr>
          <w:p w:rsidR="00A349EC" w:rsidRPr="00D930BC" w:rsidRDefault="00A349EC" w:rsidP="00D930BC">
            <w:pPr>
              <w:spacing w:line="240" w:lineRule="auto"/>
              <w:jc w:val="both"/>
              <w:rPr>
                <w:rFonts w:ascii="Times New Roman" w:eastAsia="Calibri" w:hAnsi="Times New Roman" w:cs="Times New Roman"/>
                <w:b/>
                <w:bCs/>
                <w:sz w:val="24"/>
                <w:szCs w:val="24"/>
              </w:rPr>
            </w:pPr>
            <w:r w:rsidRPr="00D930BC">
              <w:rPr>
                <w:rFonts w:ascii="Times New Roman" w:eastAsia="Calibri" w:hAnsi="Times New Roman" w:cs="Times New Roman"/>
                <w:b/>
                <w:bCs/>
                <w:sz w:val="24"/>
                <w:szCs w:val="24"/>
              </w:rPr>
              <w:t>Počet</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Rodinné domy</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Bytové domy</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Spolu</w:t>
            </w:r>
          </w:p>
        </w:tc>
        <w:tc>
          <w:tcPr>
            <w:tcW w:w="1776" w:type="dxa"/>
            <w:vAlign w:val="center"/>
          </w:tcPr>
          <w:p w:rsidR="00A349EC" w:rsidRPr="006F1AB6" w:rsidRDefault="00A349EC" w:rsidP="00D930BC">
            <w:pPr>
              <w:spacing w:line="240" w:lineRule="auto"/>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 nich byty spolu</w:t>
            </w: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Domov spolu</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376</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9</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385</w:t>
            </w: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48</w:t>
            </w: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Trvale obývané domy</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356</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9</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365</w:t>
            </w: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94,7</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100</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94,8</w:t>
            </w: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r w:rsidR="00A349EC" w:rsidRPr="006F1AB6" w:rsidTr="00D930BC">
        <w:trPr>
          <w:trHeight w:hRule="exact" w:val="340"/>
          <w:jc w:val="center"/>
        </w:trPr>
        <w:tc>
          <w:tcPr>
            <w:tcW w:w="3038" w:type="dxa"/>
            <w:vAlign w:val="center"/>
          </w:tcPr>
          <w:p w:rsidR="00A349EC" w:rsidRPr="006F1AB6" w:rsidRDefault="00A349EC" w:rsidP="00D930BC">
            <w:pPr>
              <w:spacing w:line="240" w:lineRule="auto"/>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Vlastníctvo -  bytové družstvo</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Vlastníctvo obec</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2</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1</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w:t>
            </w: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18</w:t>
            </w: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Vlastníctvo FO</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374</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8</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382</w:t>
            </w: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30</w:t>
            </w: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Vlastníctvo PO</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Vlastníctvo ostatné</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Neobývané</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20</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r w:rsidR="00A349EC" w:rsidRPr="006F1AB6" w:rsidTr="00D930BC">
        <w:trPr>
          <w:trHeight w:hRule="exact" w:val="340"/>
          <w:jc w:val="center"/>
        </w:trPr>
        <w:tc>
          <w:tcPr>
            <w:tcW w:w="3038" w:type="dxa"/>
            <w:vAlign w:val="center"/>
          </w:tcPr>
          <w:p w:rsidR="00A349EC" w:rsidRPr="006F1AB6" w:rsidRDefault="00A349EC" w:rsidP="00755047">
            <w:pPr>
              <w:spacing w:line="240" w:lineRule="auto"/>
              <w:jc w:val="both"/>
              <w:rPr>
                <w:rFonts w:ascii="Times New Roman" w:eastAsia="Calibri" w:hAnsi="Times New Roman" w:cs="Times New Roman"/>
                <w:b/>
                <w:bCs/>
                <w:sz w:val="24"/>
                <w:szCs w:val="24"/>
              </w:rPr>
            </w:pPr>
            <w:r w:rsidRPr="006F1AB6">
              <w:rPr>
                <w:rFonts w:ascii="Times New Roman" w:eastAsia="Calibri" w:hAnsi="Times New Roman" w:cs="Times New Roman"/>
                <w:b/>
                <w:bCs/>
                <w:sz w:val="24"/>
                <w:szCs w:val="24"/>
              </w:rPr>
              <w:t>Priemerný vek domu</w:t>
            </w:r>
          </w:p>
        </w:tc>
        <w:tc>
          <w:tcPr>
            <w:tcW w:w="1541"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45</w:t>
            </w:r>
          </w:p>
        </w:tc>
        <w:tc>
          <w:tcPr>
            <w:tcW w:w="135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30</w:t>
            </w:r>
          </w:p>
        </w:tc>
        <w:tc>
          <w:tcPr>
            <w:tcW w:w="1440"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c>
          <w:tcPr>
            <w:tcW w:w="1776" w:type="dxa"/>
            <w:vAlign w:val="center"/>
          </w:tcPr>
          <w:p w:rsidR="00A349EC" w:rsidRPr="006F1AB6" w:rsidRDefault="00A349EC" w:rsidP="00755047">
            <w:pPr>
              <w:spacing w:line="240" w:lineRule="auto"/>
              <w:jc w:val="both"/>
              <w:rPr>
                <w:rFonts w:ascii="Times New Roman" w:eastAsia="Calibri" w:hAnsi="Times New Roman" w:cs="Times New Roman"/>
                <w:sz w:val="24"/>
                <w:szCs w:val="24"/>
              </w:rPr>
            </w:pPr>
          </w:p>
        </w:tc>
      </w:tr>
    </w:tbl>
    <w:p w:rsidR="006C3EA1" w:rsidRPr="00C92393" w:rsidRDefault="006C3EA1" w:rsidP="006C3EA1">
      <w:pPr>
        <w:spacing w:line="240" w:lineRule="auto"/>
        <w:jc w:val="both"/>
        <w:rPr>
          <w:rFonts w:ascii="Times New Roman" w:eastAsia="Calibri" w:hAnsi="Times New Roman" w:cs="Times New Roman"/>
          <w:sz w:val="24"/>
          <w:szCs w:val="24"/>
        </w:rPr>
      </w:pPr>
      <w:r w:rsidRPr="00C92393">
        <w:rPr>
          <w:rFonts w:ascii="Times New Roman" w:eastAsia="Calibri" w:hAnsi="Times New Roman" w:cs="Times New Roman"/>
          <w:sz w:val="24"/>
          <w:szCs w:val="24"/>
        </w:rPr>
        <w:t xml:space="preserve">Zdroj: </w:t>
      </w:r>
      <w:r>
        <w:rPr>
          <w:rFonts w:ascii="Times New Roman" w:eastAsia="Calibri" w:hAnsi="Times New Roman" w:cs="Times New Roman"/>
          <w:sz w:val="24"/>
          <w:szCs w:val="24"/>
        </w:rPr>
        <w:t>Štatistický úrad SR (Sčítanie</w:t>
      </w:r>
      <w:r w:rsidRPr="00C92393">
        <w:rPr>
          <w:rFonts w:ascii="Times New Roman" w:eastAsia="Calibri" w:hAnsi="Times New Roman" w:cs="Times New Roman"/>
          <w:sz w:val="24"/>
          <w:szCs w:val="24"/>
        </w:rPr>
        <w:t xml:space="preserve"> ľudu 2011</w:t>
      </w:r>
      <w:r>
        <w:rPr>
          <w:rFonts w:ascii="Times New Roman" w:eastAsia="Calibri" w:hAnsi="Times New Roman" w:cs="Times New Roman"/>
          <w:sz w:val="24"/>
          <w:szCs w:val="24"/>
        </w:rPr>
        <w:t xml:space="preserve">) </w:t>
      </w:r>
      <w:r w:rsidRPr="00C9239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92393">
        <w:rPr>
          <w:rFonts w:ascii="Times New Roman" w:eastAsia="Calibri" w:hAnsi="Times New Roman" w:cs="Times New Roman"/>
          <w:sz w:val="24"/>
          <w:szCs w:val="24"/>
        </w:rPr>
        <w:t>aktuálne údaje z obce</w:t>
      </w:r>
    </w:p>
    <w:p w:rsidR="00D930BC" w:rsidRDefault="00D930BC" w:rsidP="00755047">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celkového počtu domov 376, 94,7 % sú trvale obývané. V obci sa nachádza aj 9 bytových domov, ktoré sú všetky obývané. Vo vlastníctve obce sú v obci dva rodinné domy a 1 bytový dom. Ostatné sú vo vlastníctve fyzických osôb. Priemerný vek rodinných bytov je 45 rokov a v prípade bytových domov je to 30 rokov.</w:t>
      </w:r>
    </w:p>
    <w:p w:rsidR="00A349EC" w:rsidRPr="006F1AB6" w:rsidRDefault="00A349EC" w:rsidP="00755047">
      <w:pPr>
        <w:spacing w:line="240" w:lineRule="auto"/>
        <w:jc w:val="both"/>
        <w:rPr>
          <w:rFonts w:ascii="Times New Roman" w:eastAsia="Calibri" w:hAnsi="Times New Roman" w:cs="Times New Roman"/>
          <w:sz w:val="24"/>
          <w:szCs w:val="24"/>
        </w:rPr>
      </w:pPr>
      <w:r w:rsidRPr="006F1AB6">
        <w:rPr>
          <w:rFonts w:ascii="Times New Roman" w:eastAsia="Calibri" w:hAnsi="Times New Roman" w:cs="Times New Roman"/>
          <w:sz w:val="24"/>
          <w:szCs w:val="24"/>
        </w:rPr>
        <w:t xml:space="preserve">Tabuľka </w:t>
      </w:r>
      <w:r w:rsidR="006C3EA1">
        <w:rPr>
          <w:rFonts w:ascii="Times New Roman" w:eastAsia="Calibri" w:hAnsi="Times New Roman" w:cs="Times New Roman"/>
          <w:sz w:val="24"/>
          <w:szCs w:val="24"/>
        </w:rPr>
        <w:t>21</w:t>
      </w:r>
      <w:r w:rsidRPr="006F1AB6">
        <w:rPr>
          <w:rFonts w:ascii="Times New Roman" w:eastAsia="Calibri" w:hAnsi="Times New Roman" w:cs="Times New Roman"/>
          <w:sz w:val="24"/>
          <w:szCs w:val="24"/>
        </w:rPr>
        <w:t xml:space="preserve"> - Obdobie výstavby domového a bytového fondu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800"/>
        <w:gridCol w:w="1800"/>
      </w:tblGrid>
      <w:tr w:rsidR="006C3EA1" w:rsidTr="006C3EA1">
        <w:trPr>
          <w:cantSplit/>
          <w:trHeight w:val="453"/>
        </w:trPr>
        <w:tc>
          <w:tcPr>
            <w:tcW w:w="2410" w:type="dxa"/>
            <w:vMerge w:val="restart"/>
            <w:tcBorders>
              <w:left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Obdobie výstavby bytov</w:t>
            </w:r>
          </w:p>
        </w:tc>
        <w:tc>
          <w:tcPr>
            <w:tcW w:w="1800" w:type="dxa"/>
            <w:vMerge w:val="restart"/>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V rodinných domoch</w:t>
            </w:r>
          </w:p>
        </w:tc>
        <w:tc>
          <w:tcPr>
            <w:tcW w:w="1800" w:type="dxa"/>
            <w:vMerge w:val="restart"/>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V bytových domoch</w:t>
            </w:r>
          </w:p>
        </w:tc>
      </w:tr>
      <w:tr w:rsidR="006C3EA1" w:rsidTr="006C3EA1">
        <w:trPr>
          <w:cantSplit/>
          <w:trHeight w:val="430"/>
        </w:trPr>
        <w:tc>
          <w:tcPr>
            <w:tcW w:w="2410" w:type="dxa"/>
            <w:vMerge/>
            <w:tcBorders>
              <w:left w:val="single" w:sz="4" w:space="0" w:color="auto"/>
              <w:bottom w:val="single" w:sz="4" w:space="0" w:color="auto"/>
            </w:tcBorders>
            <w:vAlign w:val="center"/>
          </w:tcPr>
          <w:p w:rsidR="006C3EA1" w:rsidRPr="006C3EA1" w:rsidRDefault="006C3EA1" w:rsidP="006C3EA1">
            <w:pPr>
              <w:pStyle w:val="Nadpis8"/>
              <w:spacing w:line="240" w:lineRule="auto"/>
              <w:rPr>
                <w:rFonts w:ascii="Times New Roman" w:eastAsia="Times New Roman" w:hAnsi="Times New Roman" w:cs="Times New Roman"/>
                <w:color w:val="404040"/>
              </w:rPr>
            </w:pPr>
          </w:p>
        </w:tc>
        <w:tc>
          <w:tcPr>
            <w:tcW w:w="1800" w:type="dxa"/>
            <w:vMerge/>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p>
        </w:tc>
        <w:tc>
          <w:tcPr>
            <w:tcW w:w="1800" w:type="dxa"/>
            <w:vMerge/>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p>
        </w:tc>
      </w:tr>
      <w:tr w:rsidR="006C3EA1" w:rsidTr="006C3EA1">
        <w:trPr>
          <w:cantSplit/>
          <w:trHeight w:hRule="exact" w:val="340"/>
        </w:trPr>
        <w:tc>
          <w:tcPr>
            <w:tcW w:w="2410" w:type="dxa"/>
            <w:tcBorders>
              <w:left w:val="single" w:sz="4" w:space="0" w:color="auto"/>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Do roku 1945</w:t>
            </w:r>
          </w:p>
        </w:tc>
        <w:tc>
          <w:tcPr>
            <w:tcW w:w="1800" w:type="dxa"/>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rPr>
            </w:pPr>
            <w:r w:rsidRPr="006C3EA1">
              <w:rPr>
                <w:rFonts w:ascii="Times New Roman" w:eastAsia="Calibri" w:hAnsi="Times New Roman" w:cs="Times New Roman"/>
              </w:rPr>
              <w:t>100</w:t>
            </w:r>
          </w:p>
        </w:tc>
        <w:tc>
          <w:tcPr>
            <w:tcW w:w="1800" w:type="dxa"/>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rPr>
            </w:pPr>
          </w:p>
        </w:tc>
      </w:tr>
      <w:tr w:rsidR="006C3EA1" w:rsidTr="006C3EA1">
        <w:trPr>
          <w:cantSplit/>
          <w:trHeight w:hRule="exact" w:val="340"/>
        </w:trPr>
        <w:tc>
          <w:tcPr>
            <w:tcW w:w="2410" w:type="dxa"/>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1946-1970</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r w:rsidRPr="006C3EA1">
              <w:rPr>
                <w:rFonts w:ascii="Times New Roman" w:eastAsia="Calibri" w:hAnsi="Times New Roman" w:cs="Times New Roman"/>
              </w:rPr>
              <w:t>256</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p>
        </w:tc>
      </w:tr>
      <w:tr w:rsidR="006C3EA1" w:rsidTr="006C3EA1">
        <w:trPr>
          <w:cantSplit/>
          <w:trHeight w:hRule="exact" w:val="340"/>
        </w:trPr>
        <w:tc>
          <w:tcPr>
            <w:tcW w:w="2410" w:type="dxa"/>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1971-1980</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p>
        </w:tc>
        <w:tc>
          <w:tcPr>
            <w:tcW w:w="1800" w:type="dxa"/>
            <w:vAlign w:val="center"/>
          </w:tcPr>
          <w:p w:rsidR="006C3EA1" w:rsidRPr="006C3EA1" w:rsidRDefault="006C3EA1" w:rsidP="006C3EA1">
            <w:pPr>
              <w:spacing w:line="240" w:lineRule="auto"/>
              <w:rPr>
                <w:rFonts w:ascii="Times New Roman" w:eastAsia="Calibri" w:hAnsi="Times New Roman" w:cs="Times New Roman"/>
              </w:rPr>
            </w:pPr>
          </w:p>
        </w:tc>
      </w:tr>
      <w:tr w:rsidR="006C3EA1" w:rsidTr="006C3EA1">
        <w:trPr>
          <w:cantSplit/>
          <w:trHeight w:hRule="exact" w:val="340"/>
        </w:trPr>
        <w:tc>
          <w:tcPr>
            <w:tcW w:w="2410" w:type="dxa"/>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1981-1990</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p>
        </w:tc>
        <w:tc>
          <w:tcPr>
            <w:tcW w:w="1800" w:type="dxa"/>
            <w:vAlign w:val="center"/>
          </w:tcPr>
          <w:p w:rsidR="006C3EA1" w:rsidRPr="006C3EA1" w:rsidRDefault="006C3EA1" w:rsidP="006C3EA1">
            <w:pPr>
              <w:spacing w:line="240" w:lineRule="auto"/>
              <w:rPr>
                <w:rFonts w:ascii="Times New Roman" w:eastAsia="Calibri" w:hAnsi="Times New Roman" w:cs="Times New Roman"/>
              </w:rPr>
            </w:pPr>
            <w:r w:rsidRPr="006C3EA1">
              <w:rPr>
                <w:rFonts w:ascii="Times New Roman" w:eastAsia="Calibri" w:hAnsi="Times New Roman" w:cs="Times New Roman"/>
              </w:rPr>
              <w:t>8</w:t>
            </w:r>
          </w:p>
        </w:tc>
      </w:tr>
      <w:tr w:rsidR="006C3EA1" w:rsidTr="006C3EA1">
        <w:trPr>
          <w:cantSplit/>
          <w:trHeight w:hRule="exact" w:val="340"/>
        </w:trPr>
        <w:tc>
          <w:tcPr>
            <w:tcW w:w="2410" w:type="dxa"/>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1991-2001</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p>
        </w:tc>
        <w:tc>
          <w:tcPr>
            <w:tcW w:w="1800" w:type="dxa"/>
            <w:vAlign w:val="center"/>
          </w:tcPr>
          <w:p w:rsidR="006C3EA1" w:rsidRPr="006C3EA1" w:rsidRDefault="006C3EA1" w:rsidP="006C3EA1">
            <w:pPr>
              <w:spacing w:line="240" w:lineRule="auto"/>
              <w:rPr>
                <w:rFonts w:ascii="Times New Roman" w:eastAsia="Calibri" w:hAnsi="Times New Roman" w:cs="Times New Roman"/>
              </w:rPr>
            </w:pPr>
          </w:p>
        </w:tc>
      </w:tr>
      <w:tr w:rsidR="006C3EA1" w:rsidTr="006C3EA1">
        <w:trPr>
          <w:cantSplit/>
          <w:trHeight w:hRule="exact" w:val="340"/>
        </w:trPr>
        <w:tc>
          <w:tcPr>
            <w:tcW w:w="2410" w:type="dxa"/>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2002-2011</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r w:rsidRPr="006C3EA1">
              <w:rPr>
                <w:rFonts w:ascii="Times New Roman" w:eastAsia="Calibri" w:hAnsi="Times New Roman" w:cs="Times New Roman"/>
              </w:rPr>
              <w:t>20</w:t>
            </w:r>
          </w:p>
        </w:tc>
        <w:tc>
          <w:tcPr>
            <w:tcW w:w="1800" w:type="dxa"/>
            <w:vAlign w:val="center"/>
          </w:tcPr>
          <w:p w:rsidR="006C3EA1" w:rsidRPr="006C3EA1" w:rsidRDefault="006C3EA1" w:rsidP="006C3EA1">
            <w:pPr>
              <w:spacing w:line="240" w:lineRule="auto"/>
              <w:rPr>
                <w:rFonts w:ascii="Times New Roman" w:eastAsia="Calibri" w:hAnsi="Times New Roman" w:cs="Times New Roman"/>
              </w:rPr>
            </w:pPr>
            <w:r w:rsidRPr="006C3EA1">
              <w:rPr>
                <w:rFonts w:ascii="Times New Roman" w:eastAsia="Calibri" w:hAnsi="Times New Roman" w:cs="Times New Roman"/>
              </w:rPr>
              <w:t>1</w:t>
            </w:r>
          </w:p>
        </w:tc>
      </w:tr>
      <w:tr w:rsidR="006C3EA1" w:rsidTr="006C3EA1">
        <w:trPr>
          <w:cantSplit/>
          <w:trHeight w:hRule="exact" w:val="340"/>
        </w:trPr>
        <w:tc>
          <w:tcPr>
            <w:tcW w:w="2410" w:type="dxa"/>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Spolu</w:t>
            </w:r>
          </w:p>
        </w:tc>
        <w:tc>
          <w:tcPr>
            <w:tcW w:w="1800" w:type="dxa"/>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376</w:t>
            </w:r>
          </w:p>
        </w:tc>
        <w:tc>
          <w:tcPr>
            <w:tcW w:w="1800" w:type="dxa"/>
            <w:tcBorders>
              <w:bottom w:val="single" w:sz="4" w:space="0" w:color="auto"/>
            </w:tcBorders>
            <w:vAlign w:val="center"/>
          </w:tcPr>
          <w:p w:rsidR="006C3EA1" w:rsidRPr="006C3EA1" w:rsidRDefault="006C3EA1" w:rsidP="006C3EA1">
            <w:pPr>
              <w:spacing w:line="240" w:lineRule="auto"/>
              <w:rPr>
                <w:rFonts w:ascii="Times New Roman" w:eastAsia="Calibri" w:hAnsi="Times New Roman" w:cs="Times New Roman"/>
                <w:b/>
                <w:bCs/>
              </w:rPr>
            </w:pPr>
            <w:r w:rsidRPr="006C3EA1">
              <w:rPr>
                <w:rFonts w:ascii="Times New Roman" w:eastAsia="Calibri" w:hAnsi="Times New Roman" w:cs="Times New Roman"/>
                <w:b/>
                <w:bCs/>
              </w:rPr>
              <w:t>9</w:t>
            </w:r>
          </w:p>
        </w:tc>
      </w:tr>
    </w:tbl>
    <w:p w:rsidR="006C3EA1" w:rsidRDefault="006C3EA1" w:rsidP="00755047">
      <w:pPr>
        <w:pStyle w:val="Nadpis2"/>
        <w:jc w:val="both"/>
        <w:rPr>
          <w:b w:val="0"/>
          <w:sz w:val="24"/>
          <w:szCs w:val="24"/>
        </w:rPr>
      </w:pPr>
      <w:r>
        <w:rPr>
          <w:b w:val="0"/>
          <w:sz w:val="24"/>
          <w:szCs w:val="24"/>
        </w:rPr>
        <w:t>Zdroj: Obecný úrad Rastislavice</w:t>
      </w:r>
    </w:p>
    <w:p w:rsidR="006C3EA1" w:rsidRDefault="006C3EA1" w:rsidP="00755047">
      <w:pPr>
        <w:pStyle w:val="Nadpis2"/>
        <w:jc w:val="both"/>
        <w:rPr>
          <w:b w:val="0"/>
          <w:sz w:val="24"/>
          <w:szCs w:val="24"/>
        </w:rPr>
      </w:pPr>
      <w:r>
        <w:rPr>
          <w:b w:val="0"/>
          <w:sz w:val="24"/>
          <w:szCs w:val="24"/>
        </w:rPr>
        <w:t>Graf – Obdobie výstavby domového a bytového fondu</w:t>
      </w:r>
    </w:p>
    <w:p w:rsidR="006C3EA1" w:rsidRDefault="006C3EA1" w:rsidP="00755047">
      <w:pPr>
        <w:pStyle w:val="Nadpis2"/>
        <w:jc w:val="both"/>
        <w:rPr>
          <w:i/>
          <w:sz w:val="24"/>
          <w:szCs w:val="24"/>
          <w:u w:val="single"/>
        </w:rPr>
      </w:pPr>
      <w:r w:rsidRPr="006C3EA1">
        <w:rPr>
          <w:i/>
          <w:noProof/>
          <w:sz w:val="24"/>
          <w:szCs w:val="24"/>
        </w:rPr>
        <w:drawing>
          <wp:inline distT="0" distB="0" distL="0" distR="0">
            <wp:extent cx="5760720" cy="2312005"/>
            <wp:effectExtent l="19050" t="0" r="1143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3EA1" w:rsidRDefault="006C3EA1" w:rsidP="00755047">
      <w:pPr>
        <w:pStyle w:val="Nadpis2"/>
        <w:jc w:val="both"/>
        <w:rPr>
          <w:b w:val="0"/>
          <w:sz w:val="24"/>
          <w:szCs w:val="24"/>
        </w:rPr>
      </w:pPr>
      <w:r>
        <w:rPr>
          <w:b w:val="0"/>
          <w:sz w:val="24"/>
          <w:szCs w:val="24"/>
        </w:rPr>
        <w:t>Zdroj: Tabuľka</w:t>
      </w:r>
    </w:p>
    <w:p w:rsidR="003C742A" w:rsidRDefault="003C742A" w:rsidP="00755047">
      <w:pPr>
        <w:pStyle w:val="Nadpis2"/>
        <w:jc w:val="both"/>
        <w:rPr>
          <w:b w:val="0"/>
          <w:sz w:val="24"/>
          <w:szCs w:val="24"/>
        </w:rPr>
      </w:pPr>
      <w:r>
        <w:rPr>
          <w:b w:val="0"/>
          <w:sz w:val="24"/>
          <w:szCs w:val="24"/>
        </w:rPr>
        <w:t>Do roku 1945 bolo postavených 100 domov. Najviac rodinných domov bolo postavených v rokoch 946-1970, neskôr sa eviduje výstavba 8 bytových domov v rokoch 1981-1990 a 20 rodinných domov a 1 bytový dom v rokoch 2002-2011.</w:t>
      </w:r>
    </w:p>
    <w:p w:rsidR="003C742A" w:rsidRDefault="003C742A" w:rsidP="00755047">
      <w:pPr>
        <w:pStyle w:val="Nadpis2"/>
        <w:jc w:val="both"/>
        <w:rPr>
          <w:b w:val="0"/>
          <w:sz w:val="24"/>
          <w:szCs w:val="24"/>
        </w:rPr>
      </w:pPr>
    </w:p>
    <w:p w:rsidR="002B4C4B" w:rsidRPr="00A349EC" w:rsidRDefault="002B4C4B" w:rsidP="000E35EF">
      <w:pPr>
        <w:pStyle w:val="Odsekzoznamu"/>
        <w:numPr>
          <w:ilvl w:val="3"/>
          <w:numId w:val="13"/>
        </w:numPr>
        <w:spacing w:line="240" w:lineRule="auto"/>
        <w:jc w:val="both"/>
        <w:rPr>
          <w:rFonts w:ascii="Times New Roman" w:hAnsi="Times New Roman" w:cs="Times New Roman"/>
          <w:b/>
          <w:i/>
          <w:sz w:val="24"/>
        </w:rPr>
      </w:pPr>
      <w:r w:rsidRPr="00A349EC">
        <w:rPr>
          <w:rFonts w:ascii="Times New Roman" w:hAnsi="Times New Roman" w:cs="Times New Roman"/>
          <w:b/>
          <w:i/>
          <w:sz w:val="24"/>
        </w:rPr>
        <w:t>Majetok obce</w:t>
      </w:r>
    </w:p>
    <w:p w:rsidR="00A349EC" w:rsidRPr="003C742A" w:rsidRDefault="003C742A" w:rsidP="003C742A">
      <w:pPr>
        <w:pStyle w:val="Nadpis2"/>
        <w:jc w:val="both"/>
        <w:rPr>
          <w:b w:val="0"/>
          <w:sz w:val="24"/>
          <w:szCs w:val="24"/>
        </w:rPr>
      </w:pPr>
      <w:r>
        <w:rPr>
          <w:b w:val="0"/>
          <w:sz w:val="24"/>
          <w:szCs w:val="24"/>
        </w:rPr>
        <w:t>V nasledujúcej tabuľke je nadobúdajúca a posledná účtovná hodnota majetku obce</w:t>
      </w:r>
      <w:r w:rsidR="00A349EC" w:rsidRPr="003C742A">
        <w:rPr>
          <w:b w:val="0"/>
          <w:sz w:val="24"/>
          <w:szCs w:val="24"/>
        </w:rPr>
        <w:t>.</w:t>
      </w:r>
    </w:p>
    <w:p w:rsidR="00A349EC" w:rsidRPr="003C742A" w:rsidRDefault="003C742A" w:rsidP="003C742A">
      <w:pPr>
        <w:pStyle w:val="Nadpis2"/>
        <w:jc w:val="both"/>
        <w:rPr>
          <w:b w:val="0"/>
          <w:sz w:val="24"/>
          <w:szCs w:val="24"/>
        </w:rPr>
      </w:pPr>
      <w:r>
        <w:rPr>
          <w:b w:val="0"/>
          <w:sz w:val="24"/>
          <w:szCs w:val="24"/>
        </w:rPr>
        <w:t>Tabuľka – M</w:t>
      </w:r>
      <w:r w:rsidR="00A349EC" w:rsidRPr="003C742A">
        <w:rPr>
          <w:b w:val="0"/>
          <w:sz w:val="24"/>
          <w:szCs w:val="24"/>
        </w:rPr>
        <w:t>ajetok 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2280"/>
        <w:gridCol w:w="2117"/>
      </w:tblGrid>
      <w:tr w:rsidR="00A349EC" w:rsidRPr="003C742A" w:rsidTr="003C742A">
        <w:trPr>
          <w:trHeight w:val="170"/>
        </w:trPr>
        <w:tc>
          <w:tcPr>
            <w:tcW w:w="4455" w:type="dxa"/>
          </w:tcPr>
          <w:p w:rsidR="00A349EC" w:rsidRPr="003C742A" w:rsidRDefault="00A349EC" w:rsidP="00755047">
            <w:pPr>
              <w:spacing w:line="240" w:lineRule="auto"/>
              <w:jc w:val="both"/>
              <w:rPr>
                <w:rFonts w:ascii="Times New Roman" w:eastAsia="Calibri" w:hAnsi="Times New Roman" w:cs="Times New Roman"/>
                <w:b/>
                <w:sz w:val="24"/>
              </w:rPr>
            </w:pPr>
            <w:r w:rsidRPr="003C742A">
              <w:rPr>
                <w:rFonts w:ascii="Times New Roman" w:eastAsia="Calibri" w:hAnsi="Times New Roman" w:cs="Times New Roman"/>
                <w:b/>
                <w:sz w:val="24"/>
              </w:rPr>
              <w:t>Majetok</w:t>
            </w:r>
          </w:p>
        </w:tc>
        <w:tc>
          <w:tcPr>
            <w:tcW w:w="2280" w:type="dxa"/>
          </w:tcPr>
          <w:p w:rsidR="00A349EC" w:rsidRPr="003C742A" w:rsidRDefault="00A349EC" w:rsidP="00755047">
            <w:pPr>
              <w:spacing w:line="240" w:lineRule="auto"/>
              <w:jc w:val="both"/>
              <w:rPr>
                <w:rFonts w:ascii="Times New Roman" w:eastAsia="Calibri" w:hAnsi="Times New Roman" w:cs="Times New Roman"/>
                <w:b/>
                <w:sz w:val="24"/>
              </w:rPr>
            </w:pPr>
            <w:r w:rsidRPr="003C742A">
              <w:rPr>
                <w:rFonts w:ascii="Times New Roman" w:eastAsia="Calibri" w:hAnsi="Times New Roman" w:cs="Times New Roman"/>
                <w:b/>
                <w:sz w:val="24"/>
              </w:rPr>
              <w:t>Nadobúdacia hodnota</w:t>
            </w:r>
          </w:p>
        </w:tc>
        <w:tc>
          <w:tcPr>
            <w:tcW w:w="2117" w:type="dxa"/>
          </w:tcPr>
          <w:p w:rsidR="00A349EC" w:rsidRPr="003C742A" w:rsidRDefault="00A349EC" w:rsidP="00755047">
            <w:pPr>
              <w:spacing w:line="240" w:lineRule="auto"/>
              <w:jc w:val="both"/>
              <w:rPr>
                <w:rFonts w:ascii="Times New Roman" w:eastAsia="Calibri" w:hAnsi="Times New Roman" w:cs="Times New Roman"/>
                <w:b/>
                <w:sz w:val="24"/>
              </w:rPr>
            </w:pPr>
            <w:r w:rsidRPr="003C742A">
              <w:rPr>
                <w:rFonts w:ascii="Times New Roman" w:eastAsia="Calibri" w:hAnsi="Times New Roman" w:cs="Times New Roman"/>
                <w:b/>
                <w:sz w:val="24"/>
              </w:rPr>
              <w:t>Posledná účtovná hodnota (dátum)</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Obecný úrad</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21</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511</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8</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003</w:t>
            </w:r>
            <w:r w:rsidR="003C742A">
              <w:rPr>
                <w:rFonts w:ascii="Times New Roman" w:eastAsia="Calibri" w:hAnsi="Times New Roman" w:cs="Times New Roman"/>
                <w:sz w:val="24"/>
              </w:rPr>
              <w:t>,- €</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Kultúrny dom</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31</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158</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4</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772</w:t>
            </w:r>
            <w:r w:rsidR="003C742A">
              <w:rPr>
                <w:rFonts w:ascii="Times New Roman" w:eastAsia="Calibri" w:hAnsi="Times New Roman" w:cs="Times New Roman"/>
                <w:sz w:val="24"/>
              </w:rPr>
              <w:t>,- €</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Požiarnu zbrojnica</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20</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819</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8</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116</w:t>
            </w:r>
            <w:r w:rsidR="003C742A">
              <w:rPr>
                <w:rFonts w:ascii="Times New Roman" w:eastAsia="Calibri" w:hAnsi="Times New Roman" w:cs="Times New Roman"/>
                <w:sz w:val="24"/>
              </w:rPr>
              <w:t>,- €</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lastRenderedPageBreak/>
              <w:t>Zdravotné stredisko</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Základná škola</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50</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452</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26</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563</w:t>
            </w:r>
            <w:r w:rsidR="003C742A">
              <w:rPr>
                <w:rFonts w:ascii="Times New Roman" w:eastAsia="Calibri" w:hAnsi="Times New Roman" w:cs="Times New Roman"/>
                <w:sz w:val="24"/>
              </w:rPr>
              <w:t>,- €</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Materská škola</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Dom smútku</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22</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540</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7</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401</w:t>
            </w:r>
            <w:r w:rsidR="003C742A">
              <w:rPr>
                <w:rFonts w:ascii="Times New Roman" w:eastAsia="Calibri" w:hAnsi="Times New Roman" w:cs="Times New Roman"/>
                <w:sz w:val="24"/>
              </w:rPr>
              <w:t>,- €</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Poľnohospodárska pôda</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51</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974</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51</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971</w:t>
            </w:r>
            <w:r w:rsidR="003C742A">
              <w:rPr>
                <w:rFonts w:ascii="Times New Roman" w:eastAsia="Calibri" w:hAnsi="Times New Roman" w:cs="Times New Roman"/>
                <w:sz w:val="24"/>
              </w:rPr>
              <w:t>,- €</w:t>
            </w:r>
          </w:p>
        </w:tc>
      </w:tr>
      <w:tr w:rsidR="00A349EC" w:rsidRPr="003C742A" w:rsidTr="003C742A">
        <w:trPr>
          <w:trHeight w:hRule="exact" w:val="340"/>
        </w:trPr>
        <w:tc>
          <w:tcPr>
            <w:tcW w:w="4455"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SPOLU</w:t>
            </w:r>
          </w:p>
        </w:tc>
        <w:tc>
          <w:tcPr>
            <w:tcW w:w="2280"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198</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454</w:t>
            </w:r>
            <w:r w:rsidR="003C742A">
              <w:rPr>
                <w:rFonts w:ascii="Times New Roman" w:eastAsia="Calibri" w:hAnsi="Times New Roman" w:cs="Times New Roman"/>
                <w:sz w:val="24"/>
              </w:rPr>
              <w:t>,- €</w:t>
            </w:r>
          </w:p>
        </w:tc>
        <w:tc>
          <w:tcPr>
            <w:tcW w:w="2117" w:type="dxa"/>
          </w:tcPr>
          <w:p w:rsidR="00A349EC" w:rsidRPr="003C742A" w:rsidRDefault="00A349EC" w:rsidP="00755047">
            <w:pPr>
              <w:spacing w:line="240" w:lineRule="auto"/>
              <w:jc w:val="both"/>
              <w:rPr>
                <w:rFonts w:ascii="Times New Roman" w:eastAsia="Calibri" w:hAnsi="Times New Roman" w:cs="Times New Roman"/>
                <w:sz w:val="24"/>
              </w:rPr>
            </w:pPr>
            <w:r w:rsidRPr="003C742A">
              <w:rPr>
                <w:rFonts w:ascii="Times New Roman" w:eastAsia="Calibri" w:hAnsi="Times New Roman" w:cs="Times New Roman"/>
                <w:sz w:val="24"/>
              </w:rPr>
              <w:t>106</w:t>
            </w:r>
            <w:r w:rsidR="003C742A">
              <w:rPr>
                <w:rFonts w:ascii="Times New Roman" w:eastAsia="Calibri" w:hAnsi="Times New Roman" w:cs="Times New Roman"/>
                <w:sz w:val="24"/>
              </w:rPr>
              <w:t xml:space="preserve"> </w:t>
            </w:r>
            <w:r w:rsidRPr="003C742A">
              <w:rPr>
                <w:rFonts w:ascii="Times New Roman" w:eastAsia="Calibri" w:hAnsi="Times New Roman" w:cs="Times New Roman"/>
                <w:sz w:val="24"/>
              </w:rPr>
              <w:t>829</w:t>
            </w:r>
            <w:r w:rsidR="003C742A">
              <w:rPr>
                <w:rFonts w:ascii="Times New Roman" w:eastAsia="Calibri" w:hAnsi="Times New Roman" w:cs="Times New Roman"/>
                <w:sz w:val="24"/>
              </w:rPr>
              <w:t>,- €</w:t>
            </w:r>
          </w:p>
        </w:tc>
      </w:tr>
    </w:tbl>
    <w:p w:rsidR="002B4C4B" w:rsidRDefault="003C742A" w:rsidP="00755047">
      <w:pPr>
        <w:spacing w:line="240" w:lineRule="auto"/>
        <w:rPr>
          <w:rFonts w:ascii="Times New Roman" w:eastAsia="Calibri" w:hAnsi="Times New Roman" w:cs="Times New Roman"/>
          <w:sz w:val="24"/>
          <w:szCs w:val="24"/>
        </w:rPr>
      </w:pPr>
      <w:r w:rsidRPr="003C742A">
        <w:rPr>
          <w:rFonts w:ascii="Times New Roman" w:eastAsia="Calibri" w:hAnsi="Times New Roman" w:cs="Times New Roman"/>
          <w:sz w:val="24"/>
          <w:szCs w:val="24"/>
        </w:rPr>
        <w:t>Zdroj: Obecný úrad Rastislavice</w:t>
      </w:r>
    </w:p>
    <w:p w:rsidR="003C742A" w:rsidRPr="003C742A" w:rsidRDefault="003C742A" w:rsidP="00755047">
      <w:pPr>
        <w:spacing w:line="240" w:lineRule="auto"/>
        <w:rPr>
          <w:rFonts w:ascii="Times New Roman" w:hAnsi="Times New Roman" w:cs="Times New Roman"/>
          <w:b/>
          <w:i/>
          <w:sz w:val="24"/>
          <w:szCs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Investičné aktivity za posledných 5 rokov</w:t>
      </w:r>
    </w:p>
    <w:p w:rsidR="00E80E90" w:rsidRPr="000E35EF" w:rsidRDefault="00E80E90" w:rsidP="00755047">
      <w:pPr>
        <w:spacing w:line="240" w:lineRule="auto"/>
        <w:rPr>
          <w:rFonts w:ascii="Times New Roman" w:hAnsi="Times New Roman" w:cs="Times New Roman"/>
          <w:b/>
          <w:i/>
          <w:color w:val="FF0000"/>
          <w:sz w:val="24"/>
        </w:rPr>
      </w:pPr>
    </w:p>
    <w:p w:rsidR="002B4C4B" w:rsidRPr="000E35EF" w:rsidRDefault="002B4C4B" w:rsidP="00755047">
      <w:pPr>
        <w:spacing w:line="240" w:lineRule="auto"/>
        <w:rPr>
          <w:rFonts w:ascii="Times New Roman" w:hAnsi="Times New Roman" w:cs="Times New Roman"/>
          <w:b/>
          <w:i/>
          <w:color w:val="FF0000"/>
          <w:sz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Plánované investičné aktivity</w:t>
      </w:r>
      <w:r w:rsidR="000E35EF">
        <w:rPr>
          <w:rFonts w:ascii="Times New Roman" w:hAnsi="Times New Roman" w:cs="Times New Roman"/>
          <w:b/>
          <w:i/>
          <w:color w:val="FF0000"/>
          <w:sz w:val="24"/>
        </w:rPr>
        <w:t>- na celé obdobie 2015 - 2023</w:t>
      </w:r>
    </w:p>
    <w:p w:rsidR="00A349EC" w:rsidRPr="003C742A" w:rsidRDefault="00A349EC" w:rsidP="003C742A">
      <w:pPr>
        <w:spacing w:line="240" w:lineRule="auto"/>
        <w:rPr>
          <w:rFonts w:ascii="Times New Roman" w:eastAsia="Calibri" w:hAnsi="Times New Roman" w:cs="Times New Roman"/>
          <w:sz w:val="24"/>
          <w:szCs w:val="24"/>
        </w:rPr>
      </w:pPr>
      <w:r w:rsidRPr="003C742A">
        <w:rPr>
          <w:rFonts w:ascii="Times New Roman" w:eastAsia="Calibri" w:hAnsi="Times New Roman" w:cs="Times New Roman"/>
          <w:sz w:val="24"/>
          <w:szCs w:val="24"/>
        </w:rPr>
        <w:t>Tabuľka</w:t>
      </w:r>
      <w:r w:rsidR="003C742A">
        <w:rPr>
          <w:rFonts w:ascii="Times New Roman" w:eastAsia="Calibri" w:hAnsi="Times New Roman" w:cs="Times New Roman"/>
          <w:sz w:val="24"/>
          <w:szCs w:val="24"/>
        </w:rPr>
        <w:t xml:space="preserve"> – Plánované investičné aktivity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2"/>
        <w:gridCol w:w="1842"/>
      </w:tblGrid>
      <w:tr w:rsidR="003C742A" w:rsidRPr="003C742A" w:rsidTr="00310101">
        <w:tc>
          <w:tcPr>
            <w:tcW w:w="1554" w:type="dxa"/>
            <w:shd w:val="clear" w:color="auto" w:fill="auto"/>
            <w:vAlign w:val="center"/>
          </w:tcPr>
          <w:p w:rsidR="003C742A" w:rsidRPr="003C742A" w:rsidRDefault="003C742A" w:rsidP="003C742A">
            <w:pPr>
              <w:spacing w:line="240" w:lineRule="auto"/>
              <w:rPr>
                <w:rFonts w:ascii="Times New Roman" w:eastAsia="Calibri" w:hAnsi="Times New Roman" w:cs="Times New Roman"/>
                <w:b/>
                <w:sz w:val="24"/>
              </w:rPr>
            </w:pPr>
            <w:r w:rsidRPr="003C742A">
              <w:rPr>
                <w:rFonts w:ascii="Times New Roman" w:eastAsia="Calibri" w:hAnsi="Times New Roman" w:cs="Times New Roman"/>
                <w:b/>
                <w:sz w:val="24"/>
              </w:rPr>
              <w:t>Obec</w:t>
            </w:r>
          </w:p>
        </w:tc>
        <w:tc>
          <w:tcPr>
            <w:tcW w:w="1842" w:type="dxa"/>
            <w:shd w:val="clear" w:color="auto" w:fill="auto"/>
            <w:vAlign w:val="center"/>
          </w:tcPr>
          <w:p w:rsidR="003C742A" w:rsidRPr="003C742A" w:rsidRDefault="003C742A" w:rsidP="003C742A">
            <w:pPr>
              <w:spacing w:line="240" w:lineRule="auto"/>
              <w:jc w:val="center"/>
              <w:rPr>
                <w:rFonts w:ascii="Times New Roman" w:eastAsia="Calibri" w:hAnsi="Times New Roman" w:cs="Times New Roman"/>
                <w:b/>
                <w:sz w:val="24"/>
              </w:rPr>
            </w:pPr>
            <w:r w:rsidRPr="003C742A">
              <w:rPr>
                <w:rFonts w:ascii="Times New Roman" w:eastAsia="Calibri" w:hAnsi="Times New Roman" w:cs="Times New Roman"/>
                <w:b/>
                <w:sz w:val="24"/>
              </w:rPr>
              <w:t>Plánovaná investícia</w:t>
            </w:r>
          </w:p>
        </w:tc>
        <w:tc>
          <w:tcPr>
            <w:tcW w:w="1842" w:type="dxa"/>
            <w:shd w:val="clear" w:color="auto" w:fill="auto"/>
            <w:vAlign w:val="center"/>
          </w:tcPr>
          <w:p w:rsidR="003C742A" w:rsidRPr="003C742A" w:rsidRDefault="003C742A" w:rsidP="003C742A">
            <w:pPr>
              <w:spacing w:line="240" w:lineRule="auto"/>
              <w:jc w:val="center"/>
              <w:rPr>
                <w:rFonts w:ascii="Times New Roman" w:eastAsia="Calibri" w:hAnsi="Times New Roman" w:cs="Times New Roman"/>
                <w:b/>
                <w:sz w:val="24"/>
              </w:rPr>
            </w:pPr>
            <w:r w:rsidRPr="003C742A">
              <w:rPr>
                <w:rFonts w:ascii="Times New Roman" w:eastAsia="Calibri" w:hAnsi="Times New Roman" w:cs="Times New Roman"/>
                <w:b/>
                <w:sz w:val="24"/>
              </w:rPr>
              <w:t>Čas</w:t>
            </w:r>
          </w:p>
        </w:tc>
      </w:tr>
      <w:tr w:rsidR="003C742A" w:rsidRPr="003C742A" w:rsidTr="00310101">
        <w:tc>
          <w:tcPr>
            <w:tcW w:w="1554" w:type="dxa"/>
            <w:shd w:val="clear" w:color="auto" w:fill="auto"/>
            <w:vAlign w:val="center"/>
          </w:tcPr>
          <w:p w:rsidR="003C742A" w:rsidRPr="003C742A" w:rsidRDefault="003C742A" w:rsidP="003C742A">
            <w:pPr>
              <w:spacing w:line="240" w:lineRule="auto"/>
              <w:rPr>
                <w:rFonts w:ascii="Times New Roman" w:eastAsia="Calibri" w:hAnsi="Times New Roman" w:cs="Times New Roman"/>
                <w:sz w:val="24"/>
              </w:rPr>
            </w:pPr>
            <w:r w:rsidRPr="003C742A">
              <w:rPr>
                <w:rFonts w:ascii="Times New Roman" w:eastAsia="Calibri" w:hAnsi="Times New Roman" w:cs="Times New Roman"/>
                <w:sz w:val="24"/>
              </w:rPr>
              <w:t>Rastislavice</w:t>
            </w:r>
          </w:p>
        </w:tc>
        <w:tc>
          <w:tcPr>
            <w:tcW w:w="1842" w:type="dxa"/>
            <w:shd w:val="clear" w:color="auto" w:fill="auto"/>
            <w:vAlign w:val="center"/>
          </w:tcPr>
          <w:p w:rsidR="003C742A" w:rsidRPr="003C742A" w:rsidRDefault="003C742A" w:rsidP="003C742A">
            <w:pPr>
              <w:spacing w:line="240" w:lineRule="auto"/>
              <w:jc w:val="center"/>
              <w:rPr>
                <w:rFonts w:ascii="Times New Roman" w:eastAsia="Calibri" w:hAnsi="Times New Roman" w:cs="Times New Roman"/>
                <w:sz w:val="24"/>
              </w:rPr>
            </w:pPr>
            <w:r w:rsidRPr="003C742A">
              <w:rPr>
                <w:rFonts w:ascii="Times New Roman" w:eastAsia="Calibri" w:hAnsi="Times New Roman" w:cs="Times New Roman"/>
                <w:sz w:val="24"/>
              </w:rPr>
              <w:t>100</w:t>
            </w:r>
            <w:r>
              <w:rPr>
                <w:rFonts w:ascii="Times New Roman" w:eastAsia="Calibri" w:hAnsi="Times New Roman" w:cs="Times New Roman"/>
                <w:sz w:val="24"/>
              </w:rPr>
              <w:t> </w:t>
            </w:r>
            <w:r w:rsidRPr="003C742A">
              <w:rPr>
                <w:rFonts w:ascii="Times New Roman" w:eastAsia="Calibri" w:hAnsi="Times New Roman" w:cs="Times New Roman"/>
                <w:sz w:val="24"/>
              </w:rPr>
              <w:t>000</w:t>
            </w:r>
            <w:r>
              <w:rPr>
                <w:rFonts w:ascii="Times New Roman" w:eastAsia="Calibri" w:hAnsi="Times New Roman" w:cs="Times New Roman"/>
                <w:sz w:val="24"/>
              </w:rPr>
              <w:t>,- €</w:t>
            </w:r>
          </w:p>
        </w:tc>
        <w:tc>
          <w:tcPr>
            <w:tcW w:w="1842" w:type="dxa"/>
            <w:shd w:val="clear" w:color="auto" w:fill="auto"/>
            <w:vAlign w:val="center"/>
          </w:tcPr>
          <w:p w:rsidR="003C742A" w:rsidRPr="003C742A" w:rsidRDefault="003C742A" w:rsidP="003C742A">
            <w:pPr>
              <w:spacing w:line="240" w:lineRule="auto"/>
              <w:jc w:val="center"/>
              <w:rPr>
                <w:rFonts w:ascii="Times New Roman" w:eastAsia="Calibri" w:hAnsi="Times New Roman" w:cs="Times New Roman"/>
                <w:sz w:val="24"/>
              </w:rPr>
            </w:pPr>
            <w:r w:rsidRPr="003C742A">
              <w:rPr>
                <w:rFonts w:ascii="Times New Roman" w:eastAsia="Calibri" w:hAnsi="Times New Roman" w:cs="Times New Roman"/>
                <w:sz w:val="24"/>
              </w:rPr>
              <w:t>2015-2020</w:t>
            </w:r>
          </w:p>
        </w:tc>
      </w:tr>
    </w:tbl>
    <w:p w:rsidR="00A349EC" w:rsidRPr="003C742A" w:rsidRDefault="003C742A" w:rsidP="003C742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Zdroj: </w:t>
      </w:r>
      <w:r w:rsidR="00310101">
        <w:rPr>
          <w:rFonts w:ascii="Times New Roman" w:eastAsia="Calibri" w:hAnsi="Times New Roman" w:cs="Times New Roman"/>
          <w:sz w:val="24"/>
          <w:szCs w:val="24"/>
        </w:rPr>
        <w:t>Obecný úrad Rastislavice</w:t>
      </w:r>
    </w:p>
    <w:p w:rsidR="002B4C4B" w:rsidRPr="000E35EF" w:rsidRDefault="002B4C4B" w:rsidP="00755047">
      <w:pPr>
        <w:spacing w:line="240" w:lineRule="auto"/>
        <w:rPr>
          <w:rFonts w:ascii="Times New Roman" w:eastAsia="Calibri" w:hAnsi="Times New Roman" w:cs="Times New Roman"/>
          <w:color w:val="FF0000"/>
          <w:sz w:val="24"/>
          <w:szCs w:val="24"/>
        </w:rPr>
      </w:pPr>
    </w:p>
    <w:p w:rsidR="002B4C4B" w:rsidRPr="000E35EF" w:rsidRDefault="002B4C4B" w:rsidP="000E35EF">
      <w:pPr>
        <w:pStyle w:val="Odsekzoznamu"/>
        <w:numPr>
          <w:ilvl w:val="3"/>
          <w:numId w:val="13"/>
        </w:numPr>
        <w:spacing w:line="240" w:lineRule="auto"/>
        <w:jc w:val="both"/>
        <w:rPr>
          <w:rFonts w:ascii="Times New Roman" w:hAnsi="Times New Roman" w:cs="Times New Roman"/>
          <w:b/>
          <w:i/>
          <w:color w:val="FF0000"/>
          <w:sz w:val="24"/>
        </w:rPr>
      </w:pPr>
      <w:r w:rsidRPr="000E35EF">
        <w:rPr>
          <w:rFonts w:ascii="Times New Roman" w:hAnsi="Times New Roman" w:cs="Times New Roman"/>
          <w:b/>
          <w:i/>
          <w:color w:val="FF0000"/>
          <w:sz w:val="24"/>
        </w:rPr>
        <w:t>Zoznam voľných hospodárskych budov na území obce</w:t>
      </w:r>
    </w:p>
    <w:p w:rsidR="002B4C4B" w:rsidRPr="00A349EC" w:rsidRDefault="002B4C4B" w:rsidP="00755047">
      <w:pPr>
        <w:spacing w:line="240" w:lineRule="auto"/>
        <w:rPr>
          <w:rFonts w:ascii="Times New Roman" w:hAnsi="Times New Roman" w:cs="Times New Roman"/>
          <w:b/>
          <w:i/>
          <w:sz w:val="24"/>
        </w:rPr>
      </w:pPr>
    </w:p>
    <w:p w:rsidR="002B4C4B" w:rsidRPr="00A349EC" w:rsidRDefault="002B4C4B" w:rsidP="00755047">
      <w:pPr>
        <w:spacing w:line="240" w:lineRule="auto"/>
        <w:rPr>
          <w:rFonts w:ascii="Times New Roman" w:hAnsi="Times New Roman" w:cs="Times New Roman"/>
          <w:b/>
          <w:i/>
          <w:sz w:val="24"/>
        </w:rPr>
      </w:pPr>
    </w:p>
    <w:p w:rsidR="002B4C4B" w:rsidRPr="00A349EC" w:rsidRDefault="002B4C4B" w:rsidP="000E35EF">
      <w:pPr>
        <w:pStyle w:val="Odsekzoznamu"/>
        <w:numPr>
          <w:ilvl w:val="2"/>
          <w:numId w:val="13"/>
        </w:numPr>
        <w:spacing w:line="240" w:lineRule="auto"/>
        <w:ind w:left="1560" w:hanging="851"/>
        <w:jc w:val="both"/>
        <w:rPr>
          <w:rFonts w:ascii="Times New Roman" w:hAnsi="Times New Roman" w:cs="Times New Roman"/>
          <w:b/>
          <w:sz w:val="28"/>
        </w:rPr>
      </w:pPr>
      <w:r w:rsidRPr="00A349EC">
        <w:rPr>
          <w:rFonts w:ascii="Times New Roman" w:hAnsi="Times New Roman" w:cs="Times New Roman"/>
          <w:b/>
          <w:sz w:val="28"/>
        </w:rPr>
        <w:t>Cestovný ruch</w:t>
      </w:r>
    </w:p>
    <w:p w:rsidR="002B4C4B" w:rsidRPr="00A349EC" w:rsidRDefault="002B4C4B" w:rsidP="00755047">
      <w:pPr>
        <w:spacing w:line="240" w:lineRule="auto"/>
        <w:jc w:val="both"/>
        <w:rPr>
          <w:rFonts w:ascii="Times New Roman" w:hAnsi="Times New Roman" w:cs="Times New Roman"/>
          <w:sz w:val="24"/>
        </w:rPr>
      </w:pPr>
    </w:p>
    <w:p w:rsidR="002B4C4B" w:rsidRPr="00A349EC" w:rsidRDefault="002B4C4B" w:rsidP="00755047">
      <w:pPr>
        <w:spacing w:line="240" w:lineRule="auto"/>
        <w:jc w:val="both"/>
        <w:rPr>
          <w:rFonts w:ascii="Times New Roman" w:eastAsia="Calibri" w:hAnsi="Times New Roman" w:cs="Times New Roman"/>
          <w:iCs/>
          <w:sz w:val="24"/>
        </w:rPr>
      </w:pPr>
    </w:p>
    <w:p w:rsidR="002B4C4B" w:rsidRPr="00A349EC" w:rsidRDefault="002B4C4B" w:rsidP="00755047">
      <w:pPr>
        <w:spacing w:line="240" w:lineRule="auto"/>
        <w:jc w:val="both"/>
        <w:rPr>
          <w:rFonts w:ascii="Times New Roman" w:hAnsi="Times New Roman" w:cs="Times New Roman"/>
          <w:b/>
          <w:sz w:val="28"/>
        </w:rPr>
      </w:pPr>
    </w:p>
    <w:p w:rsidR="002B4C4B" w:rsidRPr="00A349EC" w:rsidRDefault="002B4C4B" w:rsidP="000E35EF">
      <w:pPr>
        <w:pStyle w:val="Odsekzoznamu"/>
        <w:numPr>
          <w:ilvl w:val="1"/>
          <w:numId w:val="13"/>
        </w:numPr>
        <w:spacing w:line="240" w:lineRule="auto"/>
        <w:rPr>
          <w:rFonts w:ascii="Times New Roman" w:hAnsi="Times New Roman" w:cs="Times New Roman"/>
          <w:b/>
          <w:sz w:val="28"/>
        </w:rPr>
      </w:pPr>
      <w:r w:rsidRPr="00A349EC">
        <w:rPr>
          <w:rFonts w:ascii="Times New Roman" w:hAnsi="Times New Roman" w:cs="Times New Roman"/>
          <w:b/>
          <w:sz w:val="28"/>
        </w:rPr>
        <w:t>Analýza vonkajšieho prostredia</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Vonkajšie prostredie je určované Európskou úniou a legislatívou Slovenskej republiky. V danej oblasti je relevantný najmä Národný plán reforiem Slovenskej republiky platný pre roky 2014 a 2015. Jedná sa o opatrenia, ktorým sa vláda zaviazala plniť v nasledujúcom období Konsolidačné opatrenia 2014 - 2015:</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Zachovanie výnosu a zvýšenie úspešnosti DPH.</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Registračné pokladnice pre lekárov a iné profesie.</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Zrážková daň na finančných a nefinančných </w:t>
      </w:r>
      <w:proofErr w:type="spellStart"/>
      <w:r w:rsidRPr="00A349EC">
        <w:rPr>
          <w:rFonts w:ascii="Times New Roman" w:hAnsi="Times New Roman" w:cs="Times New Roman"/>
          <w:sz w:val="24"/>
          <w:szCs w:val="24"/>
        </w:rPr>
        <w:t>benefitoch</w:t>
      </w:r>
      <w:proofErr w:type="spellEnd"/>
      <w:r w:rsidRPr="00A349EC">
        <w:rPr>
          <w:rFonts w:ascii="Times New Roman" w:hAnsi="Times New Roman" w:cs="Times New Roman"/>
          <w:sz w:val="24"/>
          <w:szCs w:val="24"/>
        </w:rPr>
        <w:t xml:space="preserve"> od farmaceutických spol. pre lekárov.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lastRenderedPageBreak/>
        <w:t>Ročné zúčtovanie Sociálnej poisťovne.</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Úspory na mzdách (ESO).</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Úspory na medzispotrebe (ESO).</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Efektívnosť verejných výdavkov: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Transformácia a zlučovanie podriadených organizácií kapitol štátneho rozpočtu v rámci ESO.</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Zlepšenie finančného riadenia a hospodárenia poskytovateľov zdravotnej starostlivosti.</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Vyrovnané hospodárenie fakultných a univerzitných nemocníc.</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Implementácia prvej fázy </w:t>
      </w:r>
      <w:proofErr w:type="spellStart"/>
      <w:r w:rsidRPr="00A349EC">
        <w:rPr>
          <w:rFonts w:ascii="Times New Roman" w:hAnsi="Times New Roman" w:cs="Times New Roman"/>
          <w:sz w:val="24"/>
          <w:szCs w:val="24"/>
        </w:rPr>
        <w:t>e-health</w:t>
      </w:r>
      <w:proofErr w:type="spellEnd"/>
      <w:r w:rsidRPr="00A349EC">
        <w:rPr>
          <w:rFonts w:ascii="Times New Roman" w:hAnsi="Times New Roman" w:cs="Times New Roman"/>
          <w:sz w:val="24"/>
          <w:szCs w:val="24"/>
        </w:rPr>
        <w:t xml:space="preserve"> ESO1.</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Výdavkové priority - zvýšenie miezd učiteľom, zamestnancom úradov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práce, kapacít materských škôl.</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Výstavba diaľnic.</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Boj proti daňovým podvodom a analytické kapacity:</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Tretia etapa akčného plánu formou opatrení na zlepšenie výberu daní: najmä centralizácia informácií z mýtneho systému, registra motorových vozidiel a obyvateľstva, prístup k informáciám o účtoch prešetrovaných osôb a firiem.</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Zavedenie </w:t>
      </w:r>
      <w:proofErr w:type="spellStart"/>
      <w:r w:rsidRPr="00A349EC">
        <w:rPr>
          <w:rFonts w:ascii="Times New Roman" w:hAnsi="Times New Roman" w:cs="Times New Roman"/>
          <w:sz w:val="24"/>
          <w:szCs w:val="24"/>
        </w:rPr>
        <w:t>insolvenčného</w:t>
      </w:r>
      <w:proofErr w:type="spellEnd"/>
      <w:r w:rsidRPr="00A349EC">
        <w:rPr>
          <w:rFonts w:ascii="Times New Roman" w:hAnsi="Times New Roman" w:cs="Times New Roman"/>
          <w:sz w:val="24"/>
          <w:szCs w:val="24"/>
        </w:rPr>
        <w:t xml:space="preserve"> registra, registra diskvalifikovaných osôb a ratingu daňových subjektov. Okrem toho sa zriadia špecializované senáty na krajských súdoch so zameraním na daňovú oblasť.</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Posilnenie analytických kapacít a vybudovanie analytickej jednotky na Finančnej správe SR.</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Zverejňovanie platenia DPPO (daň z príjmov právnických osôb).</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Služby zamestnanosti, dlhodobá nezamestnanosť:</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proofErr w:type="spellStart"/>
      <w:r w:rsidRPr="00A349EC">
        <w:rPr>
          <w:rFonts w:ascii="Times New Roman" w:hAnsi="Times New Roman" w:cs="Times New Roman"/>
          <w:sz w:val="24"/>
          <w:szCs w:val="24"/>
        </w:rPr>
        <w:t>Prioritizovanie</w:t>
      </w:r>
      <w:proofErr w:type="spellEnd"/>
      <w:r w:rsidRPr="00A349EC">
        <w:rPr>
          <w:rFonts w:ascii="Times New Roman" w:hAnsi="Times New Roman" w:cs="Times New Roman"/>
          <w:sz w:val="24"/>
          <w:szCs w:val="24"/>
        </w:rPr>
        <w:t xml:space="preserve"> poradenských a individualizovaných verejných služieb zamestnanosti vrátane zvýšenia ich administratívnych kapacít s cieľom zlepšenia prístupu k zamestnaniu pre dlhodobo nezamestnané osoby, pracovníkov s nízkou kvalifikáciou, starších ľudí a žien.</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Poskytovanie kariérneho poradenstva pre dospelých na zlepšenie uplatniteľnosti na trhu práce.</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Centralizácia databázy uchádzačov o zamestnanie a poberateľov sociálnych dávok, kompletizácia a prepojenie s relevantnými inštitúciami.</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Analýza čistej účinnosti a efektívnosti výdavkov jednotlivých opatrení aktívnej politiky trhu práce.</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Posilnenie finančných motivácii zamestnať sa - súbeh dávky v hmotnej núdze a mzdy.</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Predškolské zariadenia: </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Budovanie nových zariadení služieb starostlivosti o dieťa.</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Rozšírenie kapacít materských škôl, rozšírenie existujúcich foriem výchovy a vzdelávania o prípravné triedy materskej školy a zvýšenie časovej dotácie pre predškolské vzdelávanie.</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Nezamestnanosť mladých:</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Prijatie systému záruk pre mladých ľudí do 29 rokov.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lastRenderedPageBreak/>
        <w:t>Identifikácia sektorovej potreby zručností na trhu práce a dopytu po kvalifikovanej pracovnej sile prostredníctvom Národnej sústavy povolaní.</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Odborné vzdelávanie a postavenie učiteľov: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Zvyšovanie miezd učiteľov.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Lepšie zapojenie zamestnávateľov a zamestnávateľských zväzov do systému odborného vzdelávania a prípravy, podpora odbornej praxe žiakov vykonávanej priamo v podnikoch a zmeny v normatívnom financovaní odborného regionálneho školstva s cieľom posilniť kvalitu odborného vzdelávania.</w:t>
      </w:r>
    </w:p>
    <w:p w:rsidR="006A2332" w:rsidRPr="00A349EC" w:rsidRDefault="006A2332" w:rsidP="00755047">
      <w:pPr>
        <w:spacing w:line="240" w:lineRule="auto"/>
        <w:jc w:val="both"/>
        <w:rPr>
          <w:rFonts w:ascii="Times New Roman" w:hAnsi="Times New Roman" w:cs="Times New Roman"/>
          <w:sz w:val="24"/>
          <w:szCs w:val="24"/>
        </w:rPr>
      </w:pPr>
      <w:proofErr w:type="spellStart"/>
      <w:r w:rsidRPr="00A349EC">
        <w:rPr>
          <w:rFonts w:ascii="Times New Roman" w:hAnsi="Times New Roman" w:cs="Times New Roman"/>
          <w:sz w:val="24"/>
          <w:szCs w:val="24"/>
        </w:rPr>
        <w:t>Marginalizované</w:t>
      </w:r>
      <w:proofErr w:type="spellEnd"/>
      <w:r w:rsidRPr="00A349EC">
        <w:rPr>
          <w:rFonts w:ascii="Times New Roman" w:hAnsi="Times New Roman" w:cs="Times New Roman"/>
          <w:sz w:val="24"/>
          <w:szCs w:val="24"/>
        </w:rPr>
        <w:t xml:space="preserve"> rómske komunity:</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Zvyšovanie počtu asistentov učiteľov.</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 xml:space="preserve">Vydávanie učebníc a učebných textov v slovenskom a v rómskom jazyku. </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Výskum a vývoj:</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Opatrenia z Akčného plánu stratégie RIS3.</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Transparentnosť regulácie sieťových odvetví:</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Hodnotenie potreby ďalšej regulácie.</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Zverejňovanie analýzy ku všetkým zásadnejším zmenám politík regulačného obdobia.</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Vybudovanie dátového centra na webovom sídle URSO.</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Prepájanie sústav a sietí:</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Prepojenie plynárenských sietí s Poľskom a Maďarskom.</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Prepojenie elektrizačných sústav s Maďarskom.</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Energetická efektívnosť v podnikoch:</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Podpora energetických auditov pre malé a stredné firmy.</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Implementácia smernice o energetickej efektívnosti.</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Verejná služba:</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Reforma štátnej služby.</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Model prevádzky Integrovaných obslužných miest.</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Grantový program pre posilnenie analytických kapacít vo VS.</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ESO - Efektívna, spoľahlivá a otvorená štátna správa.</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Justícia:</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Skrátenie dĺžky súdneho konania.</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Elektronický súdny spis.</w:t>
      </w:r>
    </w:p>
    <w:p w:rsidR="006A2332" w:rsidRPr="00A349EC" w:rsidRDefault="006A2332" w:rsidP="00E12B27">
      <w:pPr>
        <w:pStyle w:val="Odsekzoznamu"/>
        <w:numPr>
          <w:ilvl w:val="0"/>
          <w:numId w:val="3"/>
        </w:numPr>
        <w:spacing w:after="160" w:line="240" w:lineRule="auto"/>
        <w:jc w:val="both"/>
        <w:rPr>
          <w:rFonts w:ascii="Times New Roman" w:hAnsi="Times New Roman" w:cs="Times New Roman"/>
          <w:sz w:val="24"/>
          <w:szCs w:val="24"/>
        </w:rPr>
      </w:pPr>
      <w:r w:rsidRPr="00A349EC">
        <w:rPr>
          <w:rFonts w:ascii="Times New Roman" w:hAnsi="Times New Roman" w:cs="Times New Roman"/>
          <w:sz w:val="24"/>
          <w:szCs w:val="24"/>
        </w:rPr>
        <w:t>Zavedenie elektronickej Zbierky zákonov SR.</w:t>
      </w:r>
    </w:p>
    <w:p w:rsidR="006A2332" w:rsidRPr="00A349EC" w:rsidRDefault="006A2332" w:rsidP="00755047">
      <w:pPr>
        <w:spacing w:line="240" w:lineRule="auto"/>
        <w:jc w:val="both"/>
        <w:rPr>
          <w:rFonts w:ascii="Times New Roman" w:hAnsi="Times New Roman" w:cs="Times New Roman"/>
          <w:sz w:val="24"/>
          <w:szCs w:val="24"/>
        </w:rPr>
      </w:pPr>
      <w:r w:rsidRPr="00A349EC">
        <w:rPr>
          <w:rFonts w:ascii="Times New Roman" w:hAnsi="Times New Roman" w:cs="Times New Roman"/>
          <w:sz w:val="24"/>
          <w:szCs w:val="24"/>
        </w:rPr>
        <w:t>Zdroj: Národný program reforiem Slovenskej republiky 2014, strana 24, 25.</w:t>
      </w:r>
    </w:p>
    <w:p w:rsidR="002B4C4B" w:rsidRDefault="002B4C4B" w:rsidP="00755047">
      <w:pPr>
        <w:spacing w:line="240" w:lineRule="auto"/>
        <w:rPr>
          <w:rFonts w:ascii="Times New Roman" w:hAnsi="Times New Roman" w:cs="Times New Roman"/>
          <w:b/>
          <w:sz w:val="28"/>
        </w:rPr>
      </w:pPr>
    </w:p>
    <w:p w:rsidR="00713E53" w:rsidRPr="00A349EC" w:rsidRDefault="00713E53" w:rsidP="00755047">
      <w:pPr>
        <w:spacing w:line="240" w:lineRule="auto"/>
        <w:rPr>
          <w:rFonts w:ascii="Times New Roman" w:hAnsi="Times New Roman" w:cs="Times New Roman"/>
          <w:b/>
          <w:sz w:val="28"/>
        </w:rPr>
      </w:pPr>
    </w:p>
    <w:p w:rsidR="002B4C4B" w:rsidRDefault="002B4C4B" w:rsidP="000E35EF">
      <w:pPr>
        <w:pStyle w:val="Odsekzoznamu"/>
        <w:numPr>
          <w:ilvl w:val="1"/>
          <w:numId w:val="13"/>
        </w:numPr>
        <w:spacing w:line="240" w:lineRule="auto"/>
        <w:rPr>
          <w:rFonts w:ascii="Times New Roman" w:hAnsi="Times New Roman" w:cs="Times New Roman"/>
          <w:b/>
          <w:sz w:val="28"/>
        </w:rPr>
      </w:pPr>
      <w:r w:rsidRPr="00A349EC">
        <w:rPr>
          <w:rFonts w:ascii="Times New Roman" w:hAnsi="Times New Roman" w:cs="Times New Roman"/>
          <w:b/>
          <w:sz w:val="28"/>
        </w:rPr>
        <w:lastRenderedPageBreak/>
        <w:t>SWOT analýza</w:t>
      </w:r>
    </w:p>
    <w:p w:rsidR="00310101" w:rsidRPr="00713E53" w:rsidRDefault="00713E53" w:rsidP="00310101">
      <w:pPr>
        <w:spacing w:line="240" w:lineRule="auto"/>
        <w:rPr>
          <w:rFonts w:ascii="Times New Roman" w:hAnsi="Times New Roman" w:cs="Times New Roman"/>
          <w:sz w:val="24"/>
        </w:rPr>
      </w:pPr>
      <w:r>
        <w:rPr>
          <w:rFonts w:ascii="Times New Roman" w:hAnsi="Times New Roman" w:cs="Times New Roman"/>
          <w:sz w:val="24"/>
        </w:rPr>
        <w:t>Tabuľka – SWOT analýza</w:t>
      </w:r>
    </w:p>
    <w:tbl>
      <w:tblPr>
        <w:tblStyle w:val="Mriekatabuky"/>
        <w:tblW w:w="0" w:type="auto"/>
        <w:tblLook w:val="04A0" w:firstRow="1" w:lastRow="0" w:firstColumn="1" w:lastColumn="0" w:noHBand="0" w:noVBand="1"/>
      </w:tblPr>
      <w:tblGrid>
        <w:gridCol w:w="4655"/>
        <w:gridCol w:w="4633"/>
      </w:tblGrid>
      <w:tr w:rsidR="00713E53" w:rsidRPr="00B144A4" w:rsidTr="00AC7786">
        <w:tc>
          <w:tcPr>
            <w:tcW w:w="9288" w:type="dxa"/>
            <w:gridSpan w:val="2"/>
          </w:tcPr>
          <w:p w:rsidR="00713E53" w:rsidRPr="00B144A4" w:rsidRDefault="00713E53" w:rsidP="00713E53">
            <w:pPr>
              <w:jc w:val="center"/>
              <w:rPr>
                <w:rFonts w:ascii="Times New Roman" w:hAnsi="Times New Roman" w:cs="Times New Roman"/>
                <w:b/>
                <w:smallCaps/>
                <w:sz w:val="24"/>
                <w:szCs w:val="24"/>
              </w:rPr>
            </w:pPr>
            <w:r>
              <w:rPr>
                <w:rFonts w:ascii="Times New Roman" w:hAnsi="Times New Roman" w:cs="Times New Roman"/>
                <w:b/>
                <w:smallCaps/>
                <w:sz w:val="24"/>
                <w:szCs w:val="24"/>
              </w:rPr>
              <w:t>Interné prostredie</w:t>
            </w:r>
          </w:p>
        </w:tc>
      </w:tr>
      <w:tr w:rsidR="00713E53" w:rsidRPr="00B144A4" w:rsidTr="00713E53">
        <w:tc>
          <w:tcPr>
            <w:tcW w:w="4655" w:type="dxa"/>
          </w:tcPr>
          <w:p w:rsidR="00713E53" w:rsidRPr="00B144A4" w:rsidRDefault="00713E53" w:rsidP="007D32B2">
            <w:pPr>
              <w:rPr>
                <w:rFonts w:ascii="Times New Roman" w:hAnsi="Times New Roman" w:cs="Times New Roman"/>
                <w:b/>
                <w:smallCaps/>
                <w:sz w:val="24"/>
                <w:szCs w:val="24"/>
              </w:rPr>
            </w:pPr>
            <w:r w:rsidRPr="00B144A4">
              <w:rPr>
                <w:rFonts w:ascii="Times New Roman" w:hAnsi="Times New Roman" w:cs="Times New Roman"/>
                <w:b/>
                <w:smallCaps/>
                <w:sz w:val="24"/>
                <w:szCs w:val="24"/>
              </w:rPr>
              <w:t>Silné stránky</w:t>
            </w:r>
          </w:p>
        </w:tc>
        <w:tc>
          <w:tcPr>
            <w:tcW w:w="4633" w:type="dxa"/>
          </w:tcPr>
          <w:p w:rsidR="00713E53" w:rsidRPr="00B144A4" w:rsidRDefault="00713E53" w:rsidP="007D32B2">
            <w:pPr>
              <w:rPr>
                <w:rFonts w:ascii="Times New Roman" w:hAnsi="Times New Roman" w:cs="Times New Roman"/>
                <w:b/>
                <w:smallCaps/>
                <w:sz w:val="24"/>
                <w:szCs w:val="24"/>
              </w:rPr>
            </w:pPr>
            <w:r w:rsidRPr="00B144A4">
              <w:rPr>
                <w:rFonts w:ascii="Times New Roman" w:hAnsi="Times New Roman" w:cs="Times New Roman"/>
                <w:b/>
                <w:smallCaps/>
                <w:sz w:val="24"/>
                <w:szCs w:val="24"/>
              </w:rPr>
              <w:t>Slabé stránky</w:t>
            </w:r>
          </w:p>
        </w:tc>
      </w:tr>
      <w:tr w:rsidR="00713E53" w:rsidTr="00713E53">
        <w:tc>
          <w:tcPr>
            <w:tcW w:w="4655" w:type="dxa"/>
          </w:tcPr>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Hospodárska oblasť:</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Existencia záujmových organizácií a klubov</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Vysoký podiel produktívnej zložky obyvateľstva</w:t>
            </w:r>
          </w:p>
          <w:p w:rsidR="00713E53" w:rsidRPr="00847F78"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Vysoká angažovanosť obyvateľov obce na veciach spoločných a verejných</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Vhodná poloha obce pre pokojný rodinný život</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Výhodná poloha obce v blízkosti termálneho kúpaliska </w:t>
            </w:r>
            <w:proofErr w:type="spellStart"/>
            <w:r w:rsidRPr="00B144A4">
              <w:rPr>
                <w:rStyle w:val="Siln"/>
                <w:rFonts w:ascii="Times New Roman" w:hAnsi="Times New Roman" w:cs="Times New Roman"/>
                <w:b w:val="0"/>
                <w:sz w:val="24"/>
              </w:rPr>
              <w:t>ThermalNitrava</w:t>
            </w:r>
            <w:proofErr w:type="spellEnd"/>
            <w:r w:rsidRPr="00B144A4">
              <w:rPr>
                <w:rStyle w:val="Siln"/>
                <w:rFonts w:ascii="Times New Roman" w:hAnsi="Times New Roman" w:cs="Times New Roman"/>
                <w:b w:val="0"/>
                <w:sz w:val="24"/>
              </w:rPr>
              <w:t xml:space="preserve"> v Poľnom Kesove</w:t>
            </w:r>
          </w:p>
          <w:p w:rsidR="00713E53" w:rsidRPr="00847F78"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Primerané surovinové zabezpečenie z domácej poľnohospodárskej produkcie</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Zapojenie obce do občianskych združení pre regionálny rozvoj a všeobecný rozvoj členských obcí</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V obci bol vykonaný Register obnovenej evidencie plôch a pozemky v obci sú zväčša </w:t>
            </w:r>
            <w:proofErr w:type="spellStart"/>
            <w:r w:rsidRPr="00B144A4">
              <w:rPr>
                <w:rStyle w:val="Siln"/>
                <w:rFonts w:ascii="Times New Roman" w:hAnsi="Times New Roman" w:cs="Times New Roman"/>
                <w:b w:val="0"/>
                <w:sz w:val="24"/>
              </w:rPr>
              <w:t>vysporiadané</w:t>
            </w:r>
            <w:proofErr w:type="spellEnd"/>
          </w:p>
          <w:p w:rsidR="00713E53" w:rsidRPr="00847F78"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proofErr w:type="spellStart"/>
            <w:r w:rsidRPr="00B144A4">
              <w:rPr>
                <w:rStyle w:val="Siln"/>
                <w:rFonts w:ascii="Times New Roman" w:hAnsi="Times New Roman" w:cs="Times New Roman"/>
                <w:b w:val="0"/>
                <w:sz w:val="24"/>
              </w:rPr>
              <w:t>Agrosektor</w:t>
            </w:r>
            <w:proofErr w:type="spellEnd"/>
            <w:r w:rsidRPr="00B144A4">
              <w:rPr>
                <w:rStyle w:val="Siln"/>
                <w:rFonts w:ascii="Times New Roman" w:hAnsi="Times New Roman" w:cs="Times New Roman"/>
                <w:b w:val="0"/>
                <w:sz w:val="24"/>
              </w:rPr>
              <w:t xml:space="preserve"> v podnikateľskej štruktúre</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Rozvíjajúce sa externé vzťahy obce s ďalšími partnerskými obcami</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Príjemné vidieckej prostredie, relatívne blízka dostupnosť miest lokálneho významu, pomerne nižšie ceny nehnuteľností a nižšie životné náklady</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Kvalitná internetová stránka obce – prístup ku všetkým dôležitým informáciám</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lastRenderedPageBreak/>
              <w:t>Vysoká bonita pôdy</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Dobrá dostupnosť a autobusové spoje do miest (Šaľa, Nitra a NZ)</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Dostatočná sieť základnej obchodnej vybavenosti</w:t>
            </w:r>
          </w:p>
          <w:p w:rsidR="00713E53" w:rsidRPr="00B41E9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Existencia poľovného revíru</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Vybudovaný obecný vodovod</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Vybudovaný obecný plynovod</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Vybudovaná elektrická sieť</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Vybudovaná telekomunikačná sieť</w:t>
            </w:r>
          </w:p>
          <w:p w:rsidR="00713E53" w:rsidRPr="00B144A4" w:rsidRDefault="00713E53" w:rsidP="00713E53">
            <w:pPr>
              <w:pStyle w:val="Odsekzoznamu"/>
              <w:numPr>
                <w:ilvl w:val="0"/>
                <w:numId w:val="12"/>
              </w:numPr>
              <w:spacing w:line="360" w:lineRule="auto"/>
              <w:ind w:left="284" w:hanging="294"/>
              <w:jc w:val="both"/>
              <w:rPr>
                <w:rStyle w:val="Siln"/>
                <w:bCs w:val="0"/>
              </w:rPr>
            </w:pPr>
            <w:r w:rsidRPr="00B144A4">
              <w:rPr>
                <w:rStyle w:val="Siln"/>
                <w:rFonts w:ascii="Times New Roman" w:hAnsi="Times New Roman" w:cs="Times New Roman"/>
                <w:b w:val="0"/>
                <w:sz w:val="24"/>
              </w:rPr>
              <w:t>Priebežné opravy miestnej komunikácie</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Rozvinutá sieť sociálnych zariadení a služieb v priľahlých sídlach</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Vybudovaný kamerový systém</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Vypracovaný územný plán obce</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Sociálna oblasť:</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Kultúrno-spoločenský život, tradície</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Organizovanie miestnych športových podujatí, športové aktivity</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Dostatočné kapacity predškolskej a školskej vybavenosti</w:t>
            </w:r>
          </w:p>
          <w:p w:rsidR="00713E53" w:rsidRPr="00B41E9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Existencia futbalového ihriska</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Dobre fungujúca materská aj základná škola</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Podpora spoločenskej a záujmovej činnosti zo strany obce</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Prítomnosť zariadení rozvoja telovýchovy a športu</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sz w:val="24"/>
              </w:rPr>
            </w:pPr>
            <w:r w:rsidRPr="00B144A4">
              <w:rPr>
                <w:rStyle w:val="Siln"/>
                <w:rFonts w:ascii="Times New Roman" w:hAnsi="Times New Roman" w:cs="Times New Roman"/>
                <w:b w:val="0"/>
                <w:sz w:val="24"/>
              </w:rPr>
              <w:t>Prítomnosť kultúrneho a pamäťového fondu na území obce</w:t>
            </w:r>
          </w:p>
          <w:p w:rsidR="00713E53" w:rsidRPr="00360FDB"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Existencia kostolov v obci</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Existencia domu kultúry</w:t>
            </w:r>
          </w:p>
          <w:p w:rsidR="00713E53" w:rsidRPr="00360FDB"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lastRenderedPageBreak/>
              <w:t>Existencia obecného múzea</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Environmentálna oblasť</w:t>
            </w:r>
          </w:p>
          <w:p w:rsidR="00713E53" w:rsidRPr="003F469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Kvalitná legislatíva pre nakladanie s KO a DSO</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Pekná príroda, lesy, vodné plochy na rekreáciu</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Fungujúca separácia odpadu</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Pravidelný odvoz tuhého komunálneho odpadu (TKO)</w:t>
            </w:r>
          </w:p>
          <w:p w:rsidR="00713E53" w:rsidRDefault="00713E53" w:rsidP="007D32B2">
            <w:pPr>
              <w:rPr>
                <w:rFonts w:ascii="Times New Roman" w:hAnsi="Times New Roman" w:cs="Times New Roman"/>
                <w:sz w:val="24"/>
                <w:szCs w:val="24"/>
              </w:rPr>
            </w:pPr>
          </w:p>
        </w:tc>
        <w:tc>
          <w:tcPr>
            <w:tcW w:w="4633" w:type="dxa"/>
          </w:tcPr>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lastRenderedPageBreak/>
              <w:t>Hospodárska oblasť:</w:t>
            </w:r>
          </w:p>
          <w:p w:rsidR="00713E53" w:rsidRPr="00114B62"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Nedostatok pracovných príležitostí</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Vysoké percento obyvateľov odchádzajúcich za prácou</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Vysoké percento obyvateľov denne migrujúcich za prácou do okolitých miest, obcí a zahraničia</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Nedostatočne rozvinutý miestny trh práce v zmysle nepružnosti ponuky a dopytu na trhu práce, malého počtu pracovných príležitostí a nízkej miery tvorby pracovných miest</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Nedostatok priestorov pre začínajúcich podnikateľov</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Pretrvávajúca vysoká miera nezamestnanosti</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Chýbajúce služby pre obyvateľov – čistiareň, sklenárstva, krajčírstva a pod.</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Nedostatočné aktivity a služby v cestovnom ruchu</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Chýbajú atrakcie pre turistov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Chýbajúci bankomat</w:t>
            </w:r>
          </w:p>
          <w:p w:rsidR="00713E53" w:rsidRPr="006B2AF1"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6B2AF1">
              <w:rPr>
                <w:rStyle w:val="Siln"/>
                <w:rFonts w:ascii="Times New Roman" w:hAnsi="Times New Roman" w:cs="Times New Roman"/>
                <w:b w:val="0"/>
                <w:sz w:val="24"/>
              </w:rPr>
              <w:t>Zlý technický stav chodníkov popri cestách</w:t>
            </w:r>
          </w:p>
          <w:p w:rsidR="00713E53" w:rsidRPr="006B2AF1"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6B2AF1">
              <w:rPr>
                <w:rStyle w:val="Siln"/>
                <w:rFonts w:ascii="Times New Roman" w:hAnsi="Times New Roman" w:cs="Times New Roman"/>
                <w:b w:val="0"/>
                <w:sz w:val="24"/>
              </w:rPr>
              <w:t>Absencia chodníkov v niektorých častiach obce</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Nevyhovujúce spojenie autobusovej počas voľných pracovných dní a sviatkov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Absencia verejného vodovodu v 20% obce </w:t>
            </w:r>
            <w:r w:rsidRPr="00B144A4">
              <w:rPr>
                <w:rStyle w:val="Siln"/>
                <w:rFonts w:ascii="Times New Roman" w:hAnsi="Times New Roman" w:cs="Times New Roman"/>
                <w:b w:val="0"/>
                <w:sz w:val="24"/>
              </w:rPr>
              <w:lastRenderedPageBreak/>
              <w:t>(Nové Rastislavice)</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Chýbajúce centrum pre deti a mládež a matky s deťmi</w:t>
            </w:r>
          </w:p>
          <w:p w:rsidR="00713E53" w:rsidRPr="00C90B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Chýbajúce cyklistické prepojenie so susednými obcami</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Sociálna oblasť:</w:t>
            </w:r>
          </w:p>
          <w:p w:rsidR="00713E53" w:rsidRPr="002F281F"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Neexistujúce zariadenie pre starostlivosť o starnúce obyvateľstvo</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Absencia domova dôchodcov</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Absencia domu sociálnych služieb</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Absencia klubu dôchodcov</w:t>
            </w:r>
          </w:p>
          <w:p w:rsidR="00713E53" w:rsidRPr="00776E2A"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Absencia zariadenia starostlivosti o starších obyvateľov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Zlý stav kultúrnej infraštruktúry v obci</w:t>
            </w:r>
          </w:p>
          <w:p w:rsidR="00713E53" w:rsidRPr="00114B62"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Nízky podiel vzdelanosti ľudských zdrojov vhodných na prácu v odvetviach s vysokou pridanou hodnotou</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Environmentálna oblasť:</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Nedostatočné napojenie nehnuteľnosti na verejný vodovod </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Nedostatok technických kapacít zberu, dopravy, triedenia, zhodnocovania a likvidácie odpadov</w:t>
            </w:r>
          </w:p>
          <w:p w:rsidR="00713E53" w:rsidRDefault="00713E53" w:rsidP="007D32B2">
            <w:pPr>
              <w:rPr>
                <w:rFonts w:ascii="Times New Roman" w:hAnsi="Times New Roman" w:cs="Times New Roman"/>
                <w:sz w:val="24"/>
                <w:szCs w:val="24"/>
              </w:rPr>
            </w:pPr>
          </w:p>
        </w:tc>
      </w:tr>
      <w:tr w:rsidR="00713E53" w:rsidRPr="00713E53" w:rsidTr="003539DD">
        <w:tc>
          <w:tcPr>
            <w:tcW w:w="9288" w:type="dxa"/>
            <w:gridSpan w:val="2"/>
          </w:tcPr>
          <w:p w:rsidR="00713E53" w:rsidRPr="00713E53" w:rsidRDefault="00713E53" w:rsidP="00713E53">
            <w:pPr>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Externé prostredie</w:t>
            </w:r>
          </w:p>
        </w:tc>
      </w:tr>
      <w:tr w:rsidR="00713E53" w:rsidRPr="00713E53" w:rsidTr="00713E53">
        <w:tc>
          <w:tcPr>
            <w:tcW w:w="4655" w:type="dxa"/>
          </w:tcPr>
          <w:p w:rsidR="00713E53" w:rsidRPr="00713E53" w:rsidRDefault="00713E53" w:rsidP="007D32B2">
            <w:pPr>
              <w:rPr>
                <w:rFonts w:ascii="Times New Roman" w:hAnsi="Times New Roman" w:cs="Times New Roman"/>
                <w:b/>
                <w:smallCaps/>
                <w:sz w:val="24"/>
                <w:szCs w:val="24"/>
              </w:rPr>
            </w:pPr>
            <w:r w:rsidRPr="00713E53">
              <w:rPr>
                <w:rFonts w:ascii="Times New Roman" w:hAnsi="Times New Roman" w:cs="Times New Roman"/>
                <w:b/>
                <w:smallCaps/>
                <w:sz w:val="24"/>
                <w:szCs w:val="24"/>
              </w:rPr>
              <w:t>Príležitosti</w:t>
            </w:r>
          </w:p>
        </w:tc>
        <w:tc>
          <w:tcPr>
            <w:tcW w:w="4633" w:type="dxa"/>
          </w:tcPr>
          <w:p w:rsidR="00713E53" w:rsidRPr="00713E53" w:rsidRDefault="00713E53" w:rsidP="007D32B2">
            <w:pPr>
              <w:rPr>
                <w:rFonts w:ascii="Times New Roman" w:hAnsi="Times New Roman" w:cs="Times New Roman"/>
                <w:b/>
                <w:smallCaps/>
                <w:sz w:val="24"/>
                <w:szCs w:val="24"/>
              </w:rPr>
            </w:pPr>
            <w:r w:rsidRPr="00713E53">
              <w:rPr>
                <w:rFonts w:ascii="Times New Roman" w:hAnsi="Times New Roman" w:cs="Times New Roman"/>
                <w:b/>
                <w:smallCaps/>
                <w:sz w:val="24"/>
                <w:szCs w:val="24"/>
              </w:rPr>
              <w:t>Ohrozenia</w:t>
            </w:r>
          </w:p>
        </w:tc>
      </w:tr>
      <w:tr w:rsidR="00713E53" w:rsidTr="00713E53">
        <w:tc>
          <w:tcPr>
            <w:tcW w:w="4655" w:type="dxa"/>
          </w:tcPr>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Hospodárska oblasť:</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Zapojenie občanov do vecí verejných</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Vytvorenie podmienok a kapacít na plné využitie vlastného ľudského potenciálu všetkých vekových kategórií na zabezpečenie udržateľného rozvoja obce a kvality života jej obyvateľov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Dostatok ľudských zdrojov s dostatočnými skúsenosťami v oblasti poľnohospodárstva </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Všemožne sa starať o udržanie mládeže v obci</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Možnosť a perspektíva využitia reštauračných a ubytovacích kapacít CR</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Plné využitie vlastných i cudzích zdrojov a všetkých možností pre rozvoj obce, pre budovanie a modernizáciu občianskej vybavenosti a pre vytvorenie zdrojov príjmov pre obec aj v budúcnosti</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Využitie Európskych štrukturálnych fondov, rámcových i </w:t>
            </w:r>
            <w:proofErr w:type="spellStart"/>
            <w:r w:rsidRPr="00B144A4">
              <w:rPr>
                <w:rStyle w:val="Siln"/>
                <w:rFonts w:ascii="Times New Roman" w:hAnsi="Times New Roman" w:cs="Times New Roman"/>
                <w:b w:val="0"/>
                <w:sz w:val="24"/>
              </w:rPr>
              <w:t>komunitných</w:t>
            </w:r>
            <w:proofErr w:type="spellEnd"/>
            <w:r w:rsidRPr="00B144A4">
              <w:rPr>
                <w:rStyle w:val="Siln"/>
                <w:rFonts w:ascii="Times New Roman" w:hAnsi="Times New Roman" w:cs="Times New Roman"/>
                <w:b w:val="0"/>
                <w:sz w:val="24"/>
              </w:rPr>
              <w:t xml:space="preserve"> programov na spolufinancovania rozvoja obce</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lastRenderedPageBreak/>
              <w:t>Očakávaný ekonomický rozvoj Nitry a Nových Zámkov – priemyselné parky zvýšenie zamestnanosti</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Potenciál pre rozvoj tradičných remesiel</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Existencia vhodných podmienok na rozvoj poľnohospodárstva</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Zvýšenie potenciálu cestovného ruchu obce, vybudovanie vlastných kapacít, potrebných sprievodných služieb a príťažlivých vlastných produktov pre rozvoj cestovného ruchu a ekonomickej sily podnikateľov i obce</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Možnosť zapojenia obce do domácich a zahraničných regionálnych i nadregionálnych sietí spolupracujúcich miest a obcí</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Potenciál rozvoja podnikateľských príležitostí v nadväznosti na existujúce podnikateľské činnosti alebo export podnikateľskej činnosti mimo hraníc</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Plné využitie možností, vyplývajúcich z plnenia cieľov Operačných programov NSRR, zo Stratégie rozvoja, PHSR, Programových priorít a zo Stratégie rozvoja cestovného ruchu Nitrianskeho samosprávneho kraja na rozvoj obce</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Aplikácia Miestnej agendy 21 a udržateľného rozvoja v živote obce</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Rozvoj agroturistiky a </w:t>
            </w:r>
            <w:proofErr w:type="spellStart"/>
            <w:r w:rsidRPr="00B144A4">
              <w:rPr>
                <w:rStyle w:val="Siln"/>
                <w:rFonts w:ascii="Times New Roman" w:hAnsi="Times New Roman" w:cs="Times New Roman"/>
                <w:b w:val="0"/>
                <w:sz w:val="24"/>
              </w:rPr>
              <w:t>ekoturistiky</w:t>
            </w:r>
            <w:proofErr w:type="spellEnd"/>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Dostatok vhodných plôch pre výstavbu rodinných domov</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Podpora tvorby nových pracovných príležitostí a zníženie dennej migrácie za </w:t>
            </w:r>
            <w:r w:rsidRPr="00B144A4">
              <w:rPr>
                <w:rStyle w:val="Siln"/>
                <w:rFonts w:ascii="Times New Roman" w:hAnsi="Times New Roman" w:cs="Times New Roman"/>
                <w:b w:val="0"/>
                <w:sz w:val="24"/>
              </w:rPr>
              <w:lastRenderedPageBreak/>
              <w:t>prácou do okolitých miest a obcí</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Podpora začínajúcich podnikateľov a malé firmy</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Pomoc podnikateľom pri získaní nenávratných finančných prostriedkov z Európskych fondov</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Podpora rozvoja špecifických oblastí rastlinnej výroby, nadväzujúceho potravinárskeho priemyslu</w:t>
            </w:r>
          </w:p>
          <w:p w:rsidR="00713E53" w:rsidRPr="00F017C5"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Podmienky pre rozvoj poľnohospodárstva</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Využitie verejno-súkromného partnerstva pre rozvoj cestovného ruchu</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Vytváranie partnerstiev (podnikatelia, mimovládne organizácie, samospráva, štátna správa) pri riešení problematiky obce a jej spádového územia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Ideálna poloha pre vybudovanie cyklotrasy a jej napojenie na existujúce cyklotrasy</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Vybudovanie oddychovej zóny pre cyklotrasu a potreby miestneho obyvateľstva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Zlepšenie prístupu malých a stredných podnikateľov k informačným technológiám a finančným zdrojom</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sz w:val="24"/>
              </w:rPr>
            </w:pPr>
            <w:r w:rsidRPr="00B144A4">
              <w:rPr>
                <w:rStyle w:val="Siln"/>
                <w:rFonts w:ascii="Times New Roman" w:hAnsi="Times New Roman" w:cs="Times New Roman"/>
                <w:b w:val="0"/>
                <w:sz w:val="24"/>
              </w:rPr>
              <w:t>Vytvorenie ekonomických, legislatívnych a organizačných predpokladov pre rozvoj bytovej a technickej infraštruktúry</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Dobudovanie chodníkov popri miestnych komunikáciách </w:t>
            </w:r>
          </w:p>
          <w:p w:rsidR="00B924BC" w:rsidRPr="00B144A4" w:rsidRDefault="00B924BC"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Pr>
                <w:rStyle w:val="Siln"/>
                <w:rFonts w:ascii="Times New Roman" w:hAnsi="Times New Roman" w:cs="Times New Roman"/>
                <w:b w:val="0"/>
                <w:sz w:val="24"/>
              </w:rPr>
              <w:t>Vybudovanie kamerového systému v obci na zlepšenie bezpečnostnej situácie obce</w:t>
            </w:r>
            <w:bookmarkStart w:id="0" w:name="_GoBack"/>
            <w:bookmarkEnd w:id="0"/>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Zrovnoprávnenie papierovej a elektronickej komunikácie medzi verejnou </w:t>
            </w:r>
            <w:r w:rsidRPr="00B144A4">
              <w:rPr>
                <w:rStyle w:val="Siln"/>
                <w:rFonts w:ascii="Times New Roman" w:hAnsi="Times New Roman" w:cs="Times New Roman"/>
                <w:b w:val="0"/>
                <w:sz w:val="24"/>
              </w:rPr>
              <w:lastRenderedPageBreak/>
              <w:t>správou, občanmi a podnikateľmi</w:t>
            </w:r>
          </w:p>
          <w:p w:rsidR="00713E53" w:rsidRPr="003F469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proofErr w:type="spellStart"/>
            <w:r w:rsidRPr="00B144A4">
              <w:rPr>
                <w:rStyle w:val="Siln"/>
                <w:rFonts w:ascii="Times New Roman" w:hAnsi="Times New Roman" w:cs="Times New Roman"/>
                <w:b w:val="0"/>
                <w:sz w:val="24"/>
              </w:rPr>
              <w:t>E-government</w:t>
            </w:r>
            <w:proofErr w:type="spellEnd"/>
            <w:r w:rsidRPr="00B144A4">
              <w:rPr>
                <w:rStyle w:val="Siln"/>
                <w:rFonts w:ascii="Times New Roman" w:hAnsi="Times New Roman" w:cs="Times New Roman"/>
                <w:b w:val="0"/>
                <w:sz w:val="24"/>
              </w:rPr>
              <w:t xml:space="preserve"> je príležitosťou prelomovú modernizáciu interných administratívno-správnych procedúr, zlepšenie imidžu VS, ako aj zvýšenie podielu a záujmu verejnosti na správe vecí verejných</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Modernizáciou a rekonštrukciou budov dať obci svojrázny a jedinečný charakter</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Využiť sústavnú optimalizáciu občianskej vybavenosti na spríjemnenie životných podmienok a na udržanie obyvateľstva</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Parkoviská – klasické + kombinácia na ľadovú plochu</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Obecné trhovisko</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Sociálna oblasť:</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Dobré podmienky pre organizované trávenie voľného času pre deti, mládež, dospelých a dôchodcov prostredníctvom činnosti záujmových združení</w:t>
            </w:r>
          </w:p>
          <w:p w:rsidR="00713E53" w:rsidRPr="00B41E9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Rekonštrukcia ZŠ a MŠ</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sz w:val="24"/>
              </w:rPr>
            </w:pPr>
            <w:r w:rsidRPr="00B144A4">
              <w:rPr>
                <w:rStyle w:val="Siln"/>
                <w:rFonts w:ascii="Times New Roman" w:hAnsi="Times New Roman" w:cs="Times New Roman"/>
                <w:b w:val="0"/>
                <w:sz w:val="24"/>
              </w:rPr>
              <w:t>Rozvoj sietí poskytujúcich ekonomické, právne, poradenské a vzdelávacie služby</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Vybudovanie domu opatrovateľskej služby denného stacionára</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Rozšírenie klubu mladých a klubu dôchodcov</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Možnosť použitia 2% daní daňových subjektov na prioritné potreby zdravotníctva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Rozšírenie opatrovateľskej služby</w:t>
            </w:r>
          </w:p>
          <w:p w:rsidR="00713E53" w:rsidRPr="0031715A"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Výstavba ubytovacích kapacít</w:t>
            </w:r>
            <w:r w:rsidR="00A95120">
              <w:rPr>
                <w:rStyle w:val="Siln"/>
                <w:rFonts w:ascii="Times New Roman" w:hAnsi="Times New Roman" w:cs="Times New Roman"/>
                <w:b w:val="0"/>
                <w:sz w:val="24"/>
              </w:rPr>
              <w:t xml:space="preserve">- v rámci Obytnej Zóny Kalvín výstavba bytových domov a domov individuálnej bytovej </w:t>
            </w:r>
            <w:r w:rsidR="00A95120">
              <w:rPr>
                <w:rStyle w:val="Siln"/>
                <w:rFonts w:ascii="Times New Roman" w:hAnsi="Times New Roman" w:cs="Times New Roman"/>
                <w:b w:val="0"/>
                <w:sz w:val="24"/>
              </w:rPr>
              <w:lastRenderedPageBreak/>
              <w:t>výstavby</w:t>
            </w:r>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Zlepšenie štandardu zdravotníckych zariadení v dostupných zariadeniach</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Zakladanie mimovládnych neziskových organizácií poskytujúcich všeobecne prospešné služby</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Vonkajšia posilňovňa</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Podporiť a podnietiť kultúrny a spoločenský život v obci</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sz w:val="24"/>
              </w:rPr>
            </w:pPr>
            <w:r w:rsidRPr="00B144A4">
              <w:rPr>
                <w:rStyle w:val="Siln"/>
                <w:rFonts w:ascii="Times New Roman" w:hAnsi="Times New Roman" w:cs="Times New Roman"/>
                <w:b w:val="0"/>
                <w:sz w:val="24"/>
              </w:rPr>
              <w:t>Podporiť a podnietiť aktivity občianskych, spoločenských a kultúrnych organizácií a združení</w:t>
            </w:r>
          </w:p>
          <w:p w:rsidR="00713E53" w:rsidRPr="00360FDB"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Záujem škôl, vzdelávacích inštitúcií a tretieho sektora o zapojenie do medzinárodnej spolupráce a do výchovno-vzdelávacích programov a projektov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Podporovať udržiavanie ľudových tradícií v obci</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Spracovanie ročného programu kultúrnych podujatí </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Obnova kultúrneho a pamäťového fondu v obci</w:t>
            </w:r>
          </w:p>
          <w:p w:rsidR="00713E53" w:rsidRPr="003F469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Zvýšenie počítačovej gramotnosti</w:t>
            </w:r>
          </w:p>
          <w:p w:rsidR="00713E53" w:rsidRPr="00886F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Spájanie pravidelných, tradičných kultúrnych aktivít s podnikateľskými aktivitami, resp. organizovanie </w:t>
            </w:r>
            <w:proofErr w:type="spellStart"/>
            <w:r w:rsidRPr="00B144A4">
              <w:rPr>
                <w:rStyle w:val="Siln"/>
                <w:rFonts w:ascii="Times New Roman" w:hAnsi="Times New Roman" w:cs="Times New Roman"/>
                <w:b w:val="0"/>
                <w:sz w:val="24"/>
              </w:rPr>
              <w:t>kultúrnychaktivít</w:t>
            </w:r>
            <w:proofErr w:type="spellEnd"/>
            <w:r w:rsidRPr="00B144A4">
              <w:rPr>
                <w:rStyle w:val="Siln"/>
                <w:rFonts w:ascii="Times New Roman" w:hAnsi="Times New Roman" w:cs="Times New Roman"/>
                <w:b w:val="0"/>
                <w:sz w:val="24"/>
              </w:rPr>
              <w:t xml:space="preserve"> pre podnikateľské účely (poznávacia a kultúrna turistika)</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Nadväzovanie a zintenzívňovanie kultúrnych väzieb medzi jednotlivými združeniami na lokálnej, regionálnej a </w:t>
            </w:r>
            <w:proofErr w:type="spellStart"/>
            <w:r w:rsidRPr="00B144A4">
              <w:rPr>
                <w:rStyle w:val="Siln"/>
                <w:rFonts w:ascii="Times New Roman" w:hAnsi="Times New Roman" w:cs="Times New Roman"/>
                <w:b w:val="0"/>
                <w:sz w:val="24"/>
              </w:rPr>
              <w:t>mikroregionálnej</w:t>
            </w:r>
            <w:proofErr w:type="spellEnd"/>
            <w:r w:rsidRPr="00B144A4">
              <w:rPr>
                <w:rStyle w:val="Siln"/>
                <w:rFonts w:ascii="Times New Roman" w:hAnsi="Times New Roman" w:cs="Times New Roman"/>
                <w:b w:val="0"/>
                <w:sz w:val="24"/>
              </w:rPr>
              <w:t xml:space="preserve"> úrovni.</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Asistencia obce pri zapájaní osôb s nízkym </w:t>
            </w:r>
            <w:r w:rsidRPr="00B144A4">
              <w:rPr>
                <w:rStyle w:val="Siln"/>
                <w:rFonts w:ascii="Times New Roman" w:hAnsi="Times New Roman" w:cs="Times New Roman"/>
                <w:b w:val="0"/>
                <w:sz w:val="24"/>
              </w:rPr>
              <w:lastRenderedPageBreak/>
              <w:t>vzdelaním alebo kvalifikáciou do verejného života obce, súčinnosť obce s orgánmi štátnej správy pri organizovaní vzdelávacích a rekvalifikačných kurzov, aktivačných prác a pod.</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Vytvorenie cyklotrás spájajúce okolité obce</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Podporovať existujúce i nové športové aktivity</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Environmentálna oblasť:</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Výstavba obecného </w:t>
            </w:r>
            <w:proofErr w:type="spellStart"/>
            <w:r w:rsidRPr="00B144A4">
              <w:rPr>
                <w:rStyle w:val="Siln"/>
                <w:rFonts w:ascii="Times New Roman" w:hAnsi="Times New Roman" w:cs="Times New Roman"/>
                <w:b w:val="0"/>
                <w:sz w:val="24"/>
              </w:rPr>
              <w:t>kompostoviska</w:t>
            </w:r>
            <w:proofErr w:type="spellEnd"/>
          </w:p>
          <w:p w:rsidR="00713E53" w:rsidRPr="009A36C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Regulácia korýt </w:t>
            </w:r>
            <w:proofErr w:type="spellStart"/>
            <w:r w:rsidRPr="00B144A4">
              <w:rPr>
                <w:rStyle w:val="Siln"/>
                <w:rFonts w:ascii="Times New Roman" w:hAnsi="Times New Roman" w:cs="Times New Roman"/>
                <w:b w:val="0"/>
                <w:sz w:val="24"/>
              </w:rPr>
              <w:t>miestnehopotoka</w:t>
            </w:r>
            <w:proofErr w:type="spellEnd"/>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Zabezpečiť efektívny separovaný zber v celej obci</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Možnosti materiálového, resp. energetického využitia odpadov pri rešpektovaní duálnych vlastností odpadov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Dôsledné plnenie kvalitne stanovených cieľov v oblasti odpadového hospodárstva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Odstránenie zdrojov znečistenia povrchových a podzemných vôd ohrozujúcich zdroje pitnej vody</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Rozvoj ekologického poľnohospodárstva a ekologizácia priemyselnej výroby</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Využitie potenciálu obnoviteľných zdrojov energie a podporu týchto aktivít z Európskych fondov</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Možnosť využitia zdrojov podzemných vôd</w:t>
            </w:r>
          </w:p>
          <w:p w:rsidR="00713E53" w:rsidRDefault="00713E53" w:rsidP="007D32B2">
            <w:pPr>
              <w:rPr>
                <w:rFonts w:ascii="Times New Roman" w:hAnsi="Times New Roman" w:cs="Times New Roman"/>
                <w:sz w:val="24"/>
                <w:szCs w:val="24"/>
              </w:rPr>
            </w:pPr>
          </w:p>
        </w:tc>
        <w:tc>
          <w:tcPr>
            <w:tcW w:w="4633" w:type="dxa"/>
          </w:tcPr>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lastRenderedPageBreak/>
              <w:t>Hospodárska oblasť:</w:t>
            </w:r>
          </w:p>
          <w:p w:rsidR="00713E53" w:rsidRPr="00B41E9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Rast počtu obyvateľov v seniorskej kategórii</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Odchod nespokojných, ekonomicky aktívnych občanov z obce</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Opustenie vidieckeho štýlu života a postupný zánik tradícií</w:t>
            </w:r>
          </w:p>
          <w:p w:rsidR="00713E53" w:rsidRPr="00886F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Nedostatok príležitostí uskutočňovať podnikateľské aktivity</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Nedostatok vlastných finančných prostriedkov pre spolufinancovanie rozvojových projektov</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Nízky rozpočet obce nedovoľuje v dostatočnej miere podporovať podnikateľské aktivity obyvateľstva</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Veľká administratívna náročnosť pre získanie financií zo štátnych dotácií a z fondov EU</w:t>
            </w:r>
          </w:p>
          <w:p w:rsidR="00713E53" w:rsidRPr="002F281F"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Nevýhodné podmienky čerpania prostriedkov z EÚ fondov</w:t>
            </w:r>
          </w:p>
          <w:p w:rsidR="00713E53" w:rsidRPr="002F281F"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Nevýhodné podmienky čerpania úverových zdrojov z komerčných bánk </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lastRenderedPageBreak/>
              <w:t>Nevyužitie potenciálu obce pre rozvoj cestovného ruchu a prímestskej rekreácie</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Finančné a fiškálne riziko</w:t>
            </w:r>
          </w:p>
          <w:p w:rsidR="00713E53" w:rsidRPr="002F281F"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Zníženie dopravnej dostupnosti a s tým spojené zníženie atraktívnosti územia pre investorov </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Riziko absolútneho poklesu zamestnanosti v lokálnom území či v rámci okresu vedúcemu k vysťahovaniu produktívneho obyvateľstva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Často meniaca sa legislatíva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Nedostatočná informovanosť o možnostiach získania zahraničných grantov</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Negatívny demografický vývoj v dôsledku chýbajúcich podporných politík</w:t>
            </w:r>
          </w:p>
          <w:p w:rsidR="00713E53" w:rsidRPr="00162866"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Chýbajúca infraštruktúra pre cestovný ruch</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Sociálna oblasť:</w:t>
            </w:r>
          </w:p>
          <w:p w:rsidR="00713E53" w:rsidRPr="00886F80"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Neochota obyvateľov investovať do ďalšieho vzdelávania </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sz w:val="24"/>
              </w:rPr>
            </w:pPr>
            <w:r w:rsidRPr="00B144A4">
              <w:rPr>
                <w:rStyle w:val="Siln"/>
                <w:rFonts w:ascii="Times New Roman" w:hAnsi="Times New Roman" w:cs="Times New Roman"/>
                <w:b w:val="0"/>
                <w:sz w:val="24"/>
              </w:rPr>
              <w:t>Slabý záujem obyvateľov o veci verejné</w:t>
            </w:r>
          </w:p>
          <w:p w:rsidR="00713E53"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Nedostatočné materiálne zabezpečenie a podpora talentovanej mládeže v jednotlivých druhoch športov</w:t>
            </w:r>
          </w:p>
          <w:p w:rsidR="00713E53" w:rsidRPr="00360FDB"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Posun priorít mládeže ku konzumnej kultúre</w:t>
            </w:r>
          </w:p>
          <w:p w:rsidR="00713E53" w:rsidRPr="00360FDB"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Nárast sociálnej ohrozenosti mládeže</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Stagnácia vzdelanostnej úrovne obyvateľstva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Odliv kvalifikovanej a vzdelanej pracovnej sily</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 xml:space="preserve">Možnosť oslabenia kultúrneho kapitálu </w:t>
            </w:r>
            <w:r w:rsidRPr="00B144A4">
              <w:rPr>
                <w:rStyle w:val="Siln"/>
                <w:rFonts w:ascii="Times New Roman" w:hAnsi="Times New Roman" w:cs="Times New Roman"/>
                <w:b w:val="0"/>
                <w:sz w:val="24"/>
              </w:rPr>
              <w:lastRenderedPageBreak/>
              <w:t>v obci z dôvodov nezáujmu mladej generácie, možného nedostatku financií a pod.</w:t>
            </w:r>
          </w:p>
          <w:p w:rsidR="00713E53" w:rsidRDefault="00713E53" w:rsidP="007D32B2">
            <w:pPr>
              <w:spacing w:line="360" w:lineRule="auto"/>
              <w:jc w:val="both"/>
              <w:rPr>
                <w:rStyle w:val="Siln"/>
                <w:rFonts w:ascii="Times New Roman" w:hAnsi="Times New Roman" w:cs="Times New Roman"/>
                <w:sz w:val="24"/>
              </w:rPr>
            </w:pPr>
            <w:r>
              <w:rPr>
                <w:rStyle w:val="Siln"/>
                <w:rFonts w:ascii="Times New Roman" w:hAnsi="Times New Roman" w:cs="Times New Roman"/>
                <w:sz w:val="24"/>
              </w:rPr>
              <w:t>Environmentálna oblasť:</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Možnosť narušenia environmentálnej rovnováhy vplyvom nevybudovanej kanalizácie</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Ohrozená kvalita pitných a povrchových vôd</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Zhoršenie zdravotného stavu obyvateľstva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Znečistenie ovzdušia veľkými zdrojmi znečistenia</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Dopady na zdravotný stav obyvateľov</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Zníženie biodiverzity</w:t>
            </w:r>
          </w:p>
          <w:p w:rsidR="00713E53" w:rsidRPr="00B144A4" w:rsidRDefault="00713E53" w:rsidP="00713E53">
            <w:pPr>
              <w:pStyle w:val="Odsekzoznamu"/>
              <w:numPr>
                <w:ilvl w:val="0"/>
                <w:numId w:val="12"/>
              </w:numPr>
              <w:spacing w:line="360" w:lineRule="auto"/>
              <w:ind w:left="284" w:hanging="294"/>
              <w:jc w:val="both"/>
              <w:rPr>
                <w:rStyle w:val="Siln"/>
                <w:rFonts w:ascii="Times New Roman" w:hAnsi="Times New Roman" w:cs="Times New Roman"/>
                <w:b w:val="0"/>
                <w:sz w:val="24"/>
              </w:rPr>
            </w:pPr>
            <w:r w:rsidRPr="00B144A4">
              <w:rPr>
                <w:rStyle w:val="Siln"/>
                <w:rFonts w:ascii="Times New Roman" w:hAnsi="Times New Roman" w:cs="Times New Roman"/>
                <w:b w:val="0"/>
                <w:sz w:val="24"/>
              </w:rPr>
              <w:t>Finančný dopad na rozpočet obce v dôsledku prísnejších predpisov na ochranu životného prostredia</w:t>
            </w:r>
          </w:p>
          <w:p w:rsidR="00713E53" w:rsidRDefault="00713E53" w:rsidP="007D32B2">
            <w:pPr>
              <w:rPr>
                <w:rFonts w:ascii="Times New Roman" w:hAnsi="Times New Roman" w:cs="Times New Roman"/>
                <w:sz w:val="24"/>
                <w:szCs w:val="24"/>
              </w:rPr>
            </w:pPr>
          </w:p>
        </w:tc>
      </w:tr>
    </w:tbl>
    <w:p w:rsidR="00713E53" w:rsidRDefault="00713E53" w:rsidP="00310101">
      <w:pPr>
        <w:spacing w:line="240" w:lineRule="auto"/>
        <w:rPr>
          <w:rFonts w:ascii="Times New Roman" w:hAnsi="Times New Roman" w:cs="Times New Roman"/>
          <w:b/>
          <w:sz w:val="28"/>
        </w:rPr>
      </w:pPr>
    </w:p>
    <w:p w:rsidR="00310101" w:rsidRPr="00310101" w:rsidRDefault="00310101" w:rsidP="00310101">
      <w:pPr>
        <w:spacing w:line="240" w:lineRule="auto"/>
        <w:rPr>
          <w:rFonts w:ascii="Times New Roman" w:hAnsi="Times New Roman" w:cs="Times New Roman"/>
          <w:b/>
          <w:sz w:val="28"/>
        </w:rPr>
      </w:pPr>
    </w:p>
    <w:p w:rsidR="002B4C4B" w:rsidRPr="00A349EC" w:rsidRDefault="002B4C4B" w:rsidP="00755047">
      <w:pPr>
        <w:spacing w:line="240" w:lineRule="auto"/>
        <w:rPr>
          <w:rFonts w:ascii="Times New Roman" w:hAnsi="Times New Roman" w:cs="Times New Roman"/>
          <w:b/>
          <w:sz w:val="28"/>
        </w:rPr>
      </w:pPr>
    </w:p>
    <w:p w:rsidR="00E80E90" w:rsidRDefault="00E80E90" w:rsidP="00755047">
      <w:pPr>
        <w:spacing w:line="240" w:lineRule="auto"/>
        <w:rPr>
          <w:rFonts w:ascii="Times New Roman" w:hAnsi="Times New Roman" w:cs="Times New Roman"/>
          <w:b/>
          <w:sz w:val="28"/>
        </w:rPr>
      </w:pPr>
    </w:p>
    <w:p w:rsidR="00833F71" w:rsidRDefault="00833F71" w:rsidP="00755047">
      <w:pPr>
        <w:spacing w:line="240" w:lineRule="auto"/>
        <w:rPr>
          <w:rFonts w:ascii="Times New Roman" w:hAnsi="Times New Roman" w:cs="Times New Roman"/>
          <w:b/>
          <w:sz w:val="28"/>
        </w:rPr>
      </w:pPr>
    </w:p>
    <w:p w:rsidR="00833F71" w:rsidRDefault="00833F71" w:rsidP="00755047">
      <w:pPr>
        <w:spacing w:line="240" w:lineRule="auto"/>
        <w:rPr>
          <w:rFonts w:ascii="Times New Roman" w:hAnsi="Times New Roman" w:cs="Times New Roman"/>
          <w:b/>
          <w:sz w:val="28"/>
        </w:rPr>
      </w:pPr>
    </w:p>
    <w:p w:rsidR="00833F71" w:rsidRPr="000E35EF" w:rsidRDefault="00833F71" w:rsidP="00755047">
      <w:pPr>
        <w:spacing w:line="240" w:lineRule="auto"/>
        <w:rPr>
          <w:rFonts w:ascii="Times New Roman" w:hAnsi="Times New Roman" w:cs="Times New Roman"/>
          <w:b/>
          <w:color w:val="FF0000"/>
          <w:sz w:val="28"/>
        </w:rPr>
      </w:pP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Zhodnotenie hlavných disparít a faktorov rozvoja</w:t>
      </w:r>
    </w:p>
    <w:p w:rsidR="00E80E90" w:rsidRPr="000E35EF" w:rsidRDefault="00E80E90" w:rsidP="00755047">
      <w:pPr>
        <w:spacing w:line="240" w:lineRule="auto"/>
        <w:rPr>
          <w:rFonts w:ascii="Times New Roman" w:hAnsi="Times New Roman" w:cs="Times New Roman"/>
          <w:b/>
          <w:color w:val="FF0000"/>
          <w:sz w:val="28"/>
        </w:rPr>
      </w:pPr>
    </w:p>
    <w:p w:rsidR="002B4C4B" w:rsidRPr="000E35EF" w:rsidRDefault="002B4C4B" w:rsidP="00755047">
      <w:pPr>
        <w:spacing w:line="240" w:lineRule="auto"/>
        <w:rPr>
          <w:rFonts w:ascii="Times New Roman" w:hAnsi="Times New Roman" w:cs="Times New Roman"/>
          <w:b/>
          <w:color w:val="FF0000"/>
          <w:sz w:val="28"/>
        </w:rPr>
      </w:pPr>
    </w:p>
    <w:p w:rsidR="002B4C4B" w:rsidRPr="000E35EF" w:rsidRDefault="002B4C4B" w:rsidP="000E35EF">
      <w:pPr>
        <w:pStyle w:val="Odsekzoznamu"/>
        <w:numPr>
          <w:ilvl w:val="0"/>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Strategická časť</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Vízia rozvoja územia obce</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Strategický cieľ</w:t>
      </w:r>
    </w:p>
    <w:p w:rsidR="00E80E90" w:rsidRPr="000E35EF" w:rsidRDefault="00E80E90" w:rsidP="00755047">
      <w:pPr>
        <w:spacing w:line="240" w:lineRule="auto"/>
        <w:rPr>
          <w:rFonts w:ascii="Times New Roman" w:hAnsi="Times New Roman" w:cs="Times New Roman"/>
          <w:b/>
          <w:color w:val="FF0000"/>
          <w:sz w:val="28"/>
        </w:rPr>
      </w:pPr>
    </w:p>
    <w:p w:rsidR="002B4C4B" w:rsidRPr="000E35EF" w:rsidRDefault="002B4C4B" w:rsidP="00755047">
      <w:pPr>
        <w:spacing w:line="240" w:lineRule="auto"/>
        <w:rPr>
          <w:rFonts w:ascii="Times New Roman" w:hAnsi="Times New Roman" w:cs="Times New Roman"/>
          <w:b/>
          <w:color w:val="FF0000"/>
          <w:sz w:val="28"/>
        </w:rPr>
      </w:pPr>
    </w:p>
    <w:p w:rsidR="002B4C4B" w:rsidRPr="000E35EF" w:rsidRDefault="002B4C4B" w:rsidP="000E35EF">
      <w:pPr>
        <w:pStyle w:val="Odsekzoznamu"/>
        <w:numPr>
          <w:ilvl w:val="0"/>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Programová časť</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Opatrenia a projekty vrátane ich priradenia k jednotlivým prioritám</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Súbor ukazovateľov výsledkov a dosahov</w:t>
      </w:r>
    </w:p>
    <w:p w:rsidR="00E80E90" w:rsidRPr="000E35EF" w:rsidRDefault="00E80E90" w:rsidP="00755047">
      <w:pPr>
        <w:spacing w:line="240" w:lineRule="auto"/>
        <w:rPr>
          <w:rFonts w:ascii="Times New Roman" w:hAnsi="Times New Roman" w:cs="Times New Roman"/>
          <w:b/>
          <w:color w:val="FF0000"/>
          <w:sz w:val="28"/>
        </w:rPr>
      </w:pPr>
    </w:p>
    <w:p w:rsidR="002B4C4B" w:rsidRPr="000E35EF" w:rsidRDefault="002B4C4B" w:rsidP="00755047">
      <w:pPr>
        <w:spacing w:line="240" w:lineRule="auto"/>
        <w:rPr>
          <w:rFonts w:ascii="Times New Roman" w:hAnsi="Times New Roman" w:cs="Times New Roman"/>
          <w:b/>
          <w:color w:val="FF0000"/>
          <w:sz w:val="28"/>
        </w:rPr>
      </w:pPr>
    </w:p>
    <w:p w:rsidR="002B4C4B" w:rsidRPr="000E35EF" w:rsidRDefault="002B4C4B" w:rsidP="000E35EF">
      <w:pPr>
        <w:pStyle w:val="Odsekzoznamu"/>
        <w:numPr>
          <w:ilvl w:val="0"/>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Realizačná časť</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Východiská a popis úloh jednotlivých partnerov pri realizácii</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Popis postupov organizačného a inštitucionálneho zabezpečenia realizácie PHSR</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Stručný popis komunikačnej stratégie</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Systém monitorovania a hodnotenia</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Akčný plán na obdobie dvoch rokov</w:t>
      </w:r>
    </w:p>
    <w:p w:rsidR="00E80E90" w:rsidRPr="000E35EF" w:rsidRDefault="00E80E90" w:rsidP="00755047">
      <w:pPr>
        <w:spacing w:line="240" w:lineRule="auto"/>
        <w:rPr>
          <w:rFonts w:ascii="Times New Roman" w:hAnsi="Times New Roman" w:cs="Times New Roman"/>
          <w:b/>
          <w:color w:val="FF0000"/>
          <w:sz w:val="28"/>
        </w:rPr>
      </w:pPr>
    </w:p>
    <w:p w:rsidR="002B4C4B" w:rsidRPr="000E35EF" w:rsidRDefault="002B4C4B" w:rsidP="00755047">
      <w:pPr>
        <w:spacing w:line="240" w:lineRule="auto"/>
        <w:rPr>
          <w:rFonts w:ascii="Times New Roman" w:hAnsi="Times New Roman" w:cs="Times New Roman"/>
          <w:b/>
          <w:color w:val="FF0000"/>
          <w:sz w:val="28"/>
        </w:rPr>
      </w:pPr>
    </w:p>
    <w:p w:rsidR="002B4C4B" w:rsidRPr="000E35EF" w:rsidRDefault="002B4C4B" w:rsidP="000E35EF">
      <w:pPr>
        <w:pStyle w:val="Odsekzoznamu"/>
        <w:numPr>
          <w:ilvl w:val="0"/>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Finančná časť</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Indikatívny finančný plán na celú realizáciu PHSR</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Model viaczdrojového financovania jednotlivých projektov</w:t>
      </w:r>
    </w:p>
    <w:p w:rsidR="002B4C4B" w:rsidRPr="000E35EF" w:rsidRDefault="002B4C4B" w:rsidP="000E35EF">
      <w:pPr>
        <w:pStyle w:val="Odsekzoznamu"/>
        <w:numPr>
          <w:ilvl w:val="1"/>
          <w:numId w:val="13"/>
        </w:num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 xml:space="preserve">Systém hodnotenia a zaraďovania projektov do financovania </w:t>
      </w:r>
    </w:p>
    <w:p w:rsidR="00E80E90" w:rsidRPr="000E35EF" w:rsidRDefault="00E80E90" w:rsidP="00755047">
      <w:pPr>
        <w:spacing w:line="240" w:lineRule="auto"/>
        <w:rPr>
          <w:rFonts w:ascii="Times New Roman" w:hAnsi="Times New Roman" w:cs="Times New Roman"/>
          <w:b/>
          <w:color w:val="FF0000"/>
          <w:sz w:val="28"/>
        </w:rPr>
      </w:pPr>
    </w:p>
    <w:p w:rsidR="008E7AF1" w:rsidRPr="000E35EF" w:rsidRDefault="008E7AF1" w:rsidP="00755047">
      <w:pPr>
        <w:spacing w:line="240" w:lineRule="auto"/>
        <w:rPr>
          <w:rFonts w:ascii="Times New Roman" w:hAnsi="Times New Roman" w:cs="Times New Roman"/>
          <w:b/>
          <w:color w:val="FF0000"/>
          <w:sz w:val="28"/>
        </w:rPr>
      </w:pPr>
    </w:p>
    <w:p w:rsidR="002B4C4B" w:rsidRPr="000E35EF" w:rsidRDefault="008E7AF1" w:rsidP="00755047">
      <w:pPr>
        <w:spacing w:line="240" w:lineRule="auto"/>
        <w:rPr>
          <w:rFonts w:ascii="Times New Roman" w:hAnsi="Times New Roman" w:cs="Times New Roman"/>
          <w:b/>
          <w:color w:val="FF0000"/>
          <w:sz w:val="28"/>
        </w:rPr>
      </w:pPr>
      <w:r w:rsidRPr="000E35EF">
        <w:rPr>
          <w:rFonts w:ascii="Times New Roman" w:hAnsi="Times New Roman" w:cs="Times New Roman"/>
          <w:b/>
          <w:color w:val="FF0000"/>
          <w:sz w:val="28"/>
        </w:rPr>
        <w:t>Záverečná časť</w:t>
      </w:r>
    </w:p>
    <w:p w:rsidR="00A97E2C" w:rsidRPr="000E35EF" w:rsidRDefault="00A97E2C" w:rsidP="00755047">
      <w:pPr>
        <w:spacing w:line="240" w:lineRule="auto"/>
        <w:rPr>
          <w:rFonts w:ascii="Times New Roman" w:hAnsi="Times New Roman" w:cs="Times New Roman"/>
          <w:color w:val="FF0000"/>
        </w:rPr>
      </w:pPr>
    </w:p>
    <w:sectPr w:rsidR="00A97E2C" w:rsidRPr="000E35EF" w:rsidSect="003443AF">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C1" w:rsidRDefault="002F4AC1" w:rsidP="009257BC">
      <w:pPr>
        <w:spacing w:after="0" w:line="240" w:lineRule="auto"/>
      </w:pPr>
      <w:r>
        <w:separator/>
      </w:r>
    </w:p>
  </w:endnote>
  <w:endnote w:type="continuationSeparator" w:id="0">
    <w:p w:rsidR="002F4AC1" w:rsidRDefault="002F4AC1" w:rsidP="0092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07938"/>
      <w:docPartObj>
        <w:docPartGallery w:val="Page Numbers (Bottom of Page)"/>
        <w:docPartUnique/>
      </w:docPartObj>
    </w:sdtPr>
    <w:sdtEndPr/>
    <w:sdtContent>
      <w:p w:rsidR="00EC1066" w:rsidRDefault="00CA7826">
        <w:pPr>
          <w:pStyle w:val="Pta"/>
          <w:jc w:val="right"/>
        </w:pPr>
        <w:r>
          <w:fldChar w:fldCharType="begin"/>
        </w:r>
        <w:r>
          <w:instrText xml:space="preserve"> PAGE   \* MERGEFORMAT </w:instrText>
        </w:r>
        <w:r>
          <w:fldChar w:fldCharType="separate"/>
        </w:r>
        <w:r w:rsidR="00B924BC">
          <w:rPr>
            <w:noProof/>
          </w:rPr>
          <w:t>23</w:t>
        </w:r>
        <w:r>
          <w:rPr>
            <w:noProof/>
          </w:rPr>
          <w:fldChar w:fldCharType="end"/>
        </w:r>
      </w:p>
    </w:sdtContent>
  </w:sdt>
  <w:p w:rsidR="00EC1066" w:rsidRDefault="00EC106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66" w:rsidRDefault="00CA7826">
    <w:pPr>
      <w:pStyle w:val="Pta"/>
      <w:jc w:val="right"/>
    </w:pPr>
    <w:r>
      <w:fldChar w:fldCharType="begin"/>
    </w:r>
    <w:r>
      <w:instrText xml:space="preserve"> PAGE   \* MERGEFORMAT </w:instrText>
    </w:r>
    <w:r>
      <w:fldChar w:fldCharType="separate"/>
    </w:r>
    <w:r w:rsidR="00B924BC">
      <w:rPr>
        <w:noProof/>
      </w:rPr>
      <w:t>36</w:t>
    </w:r>
    <w:r>
      <w:rPr>
        <w:noProof/>
      </w:rPr>
      <w:fldChar w:fldCharType="end"/>
    </w:r>
  </w:p>
  <w:p w:rsidR="00EC1066" w:rsidRDefault="00EC10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C1" w:rsidRDefault="002F4AC1" w:rsidP="009257BC">
      <w:pPr>
        <w:spacing w:after="0" w:line="240" w:lineRule="auto"/>
      </w:pPr>
      <w:r>
        <w:separator/>
      </w:r>
    </w:p>
  </w:footnote>
  <w:footnote w:type="continuationSeparator" w:id="0">
    <w:p w:rsidR="002F4AC1" w:rsidRDefault="002F4AC1" w:rsidP="00925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FAF"/>
    <w:multiLevelType w:val="hybridMultilevel"/>
    <w:tmpl w:val="82429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C4708D"/>
    <w:multiLevelType w:val="multilevel"/>
    <w:tmpl w:val="DD801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C51B91"/>
    <w:multiLevelType w:val="multilevel"/>
    <w:tmpl w:val="FE20B7EC"/>
    <w:lvl w:ilvl="0">
      <w:start w:val="1"/>
      <w:numFmt w:val="decimal"/>
      <w:lvlText w:val="%1."/>
      <w:lvlJc w:val="left"/>
      <w:pPr>
        <w:ind w:left="1211" w:hanging="360"/>
      </w:pPr>
    </w:lvl>
    <w:lvl w:ilvl="1">
      <w:start w:val="1"/>
      <w:numFmt w:val="decimal"/>
      <w:isLgl/>
      <w:lvlText w:val="%1.%2"/>
      <w:lvlJc w:val="left"/>
      <w:pPr>
        <w:ind w:left="1352" w:hanging="360"/>
      </w:pPr>
    </w:lvl>
    <w:lvl w:ilvl="2">
      <w:start w:val="1"/>
      <w:numFmt w:val="decimal"/>
      <w:isLgl/>
      <w:lvlText w:val="%1.%2.%3"/>
      <w:lvlJc w:val="left"/>
      <w:pPr>
        <w:ind w:left="1712" w:hanging="720"/>
      </w:pPr>
    </w:lvl>
    <w:lvl w:ilvl="3">
      <w:start w:val="1"/>
      <w:numFmt w:val="decimal"/>
      <w:isLgl/>
      <w:lvlText w:val="%1.%2.%3.%4"/>
      <w:lvlJc w:val="left"/>
      <w:pPr>
        <w:ind w:left="1712" w:hanging="720"/>
      </w:pPr>
    </w:lvl>
    <w:lvl w:ilvl="4">
      <w:start w:val="1"/>
      <w:numFmt w:val="decimal"/>
      <w:isLgl/>
      <w:lvlText w:val="%1.%2.%3.%4.%5"/>
      <w:lvlJc w:val="left"/>
      <w:pPr>
        <w:ind w:left="2072" w:hanging="1080"/>
      </w:pPr>
    </w:lvl>
    <w:lvl w:ilvl="5">
      <w:start w:val="1"/>
      <w:numFmt w:val="decimal"/>
      <w:isLgl/>
      <w:lvlText w:val="%1.%2.%3.%4.%5.%6"/>
      <w:lvlJc w:val="left"/>
      <w:pPr>
        <w:ind w:left="2072" w:hanging="1080"/>
      </w:pPr>
    </w:lvl>
    <w:lvl w:ilvl="6">
      <w:start w:val="1"/>
      <w:numFmt w:val="decimal"/>
      <w:isLgl/>
      <w:lvlText w:val="%1.%2.%3.%4.%5.%6.%7"/>
      <w:lvlJc w:val="left"/>
      <w:pPr>
        <w:ind w:left="2432" w:hanging="1440"/>
      </w:pPr>
    </w:lvl>
    <w:lvl w:ilvl="7">
      <w:start w:val="1"/>
      <w:numFmt w:val="decimal"/>
      <w:isLgl/>
      <w:lvlText w:val="%1.%2.%3.%4.%5.%6.%7.%8"/>
      <w:lvlJc w:val="left"/>
      <w:pPr>
        <w:ind w:left="2432" w:hanging="1440"/>
      </w:pPr>
    </w:lvl>
    <w:lvl w:ilvl="8">
      <w:start w:val="1"/>
      <w:numFmt w:val="decimal"/>
      <w:isLgl/>
      <w:lvlText w:val="%1.%2.%3.%4.%5.%6.%7.%8.%9"/>
      <w:lvlJc w:val="left"/>
      <w:pPr>
        <w:ind w:left="2792" w:hanging="1800"/>
      </w:pPr>
    </w:lvl>
  </w:abstractNum>
  <w:abstractNum w:abstractNumId="3">
    <w:nsid w:val="10D3228B"/>
    <w:multiLevelType w:val="hybridMultilevel"/>
    <w:tmpl w:val="CA384A94"/>
    <w:lvl w:ilvl="0" w:tplc="041B0001">
      <w:start w:val="1"/>
      <w:numFmt w:val="bullet"/>
      <w:lvlText w:val=""/>
      <w:lvlJc w:val="left"/>
      <w:pPr>
        <w:ind w:left="784" w:hanging="360"/>
      </w:pPr>
      <w:rPr>
        <w:rFonts w:ascii="Symbol" w:hAnsi="Symbol" w:hint="default"/>
      </w:rPr>
    </w:lvl>
    <w:lvl w:ilvl="1" w:tplc="041B0003" w:tentative="1">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4">
    <w:nsid w:val="18970E16"/>
    <w:multiLevelType w:val="hybridMultilevel"/>
    <w:tmpl w:val="B8FC32DE"/>
    <w:lvl w:ilvl="0" w:tplc="B6485D3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2F3799"/>
    <w:multiLevelType w:val="hybridMultilevel"/>
    <w:tmpl w:val="4F1C4C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9E61DA7"/>
    <w:multiLevelType w:val="hybridMultilevel"/>
    <w:tmpl w:val="7EC25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93D7503"/>
    <w:multiLevelType w:val="hybridMultilevel"/>
    <w:tmpl w:val="4D68E5D0"/>
    <w:lvl w:ilvl="0" w:tplc="041B0007">
      <w:start w:val="1"/>
      <w:numFmt w:val="bullet"/>
      <w:lvlText w:val=""/>
      <w:lvlJc w:val="left"/>
      <w:pPr>
        <w:ind w:left="2148" w:hanging="360"/>
      </w:pPr>
      <w:rPr>
        <w:rFonts w:ascii="Wingdings" w:hAnsi="Wingdings" w:hint="default"/>
        <w:sz w:val="16"/>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8">
    <w:nsid w:val="4DB134CF"/>
    <w:multiLevelType w:val="hybridMultilevel"/>
    <w:tmpl w:val="F1945B00"/>
    <w:lvl w:ilvl="0" w:tplc="54AE296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C007CBD"/>
    <w:multiLevelType w:val="multilevel"/>
    <w:tmpl w:val="37866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0AC4700"/>
    <w:multiLevelType w:val="hybridMultilevel"/>
    <w:tmpl w:val="E3ACE2EC"/>
    <w:lvl w:ilvl="0" w:tplc="9D0C43B4">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4BF11A0"/>
    <w:multiLevelType w:val="hybridMultilevel"/>
    <w:tmpl w:val="A9B4F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9A80481"/>
    <w:multiLevelType w:val="hybridMultilevel"/>
    <w:tmpl w:val="4DE608DC"/>
    <w:lvl w:ilvl="0" w:tplc="041B0007">
      <w:start w:val="1"/>
      <w:numFmt w:val="bullet"/>
      <w:lvlText w:val=""/>
      <w:lvlJc w:val="left"/>
      <w:pPr>
        <w:tabs>
          <w:tab w:val="num" w:pos="720"/>
        </w:tabs>
        <w:ind w:left="720" w:hanging="360"/>
      </w:pPr>
      <w:rPr>
        <w:rFonts w:ascii="Wingdings" w:hAnsi="Wingdings" w:hint="default"/>
        <w:sz w:val="16"/>
      </w:rPr>
    </w:lvl>
    <w:lvl w:ilvl="1" w:tplc="041B0007">
      <w:start w:val="1"/>
      <w:numFmt w:val="bullet"/>
      <w:lvlText w:val=""/>
      <w:lvlJc w:val="left"/>
      <w:pPr>
        <w:tabs>
          <w:tab w:val="num" w:pos="1440"/>
        </w:tabs>
        <w:ind w:left="1440" w:hanging="360"/>
      </w:pPr>
      <w:rPr>
        <w:rFonts w:ascii="Wingdings" w:hAnsi="Wingdings" w:hint="default"/>
        <w:sz w:val="16"/>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1"/>
  </w:num>
  <w:num w:numId="4">
    <w:abstractNumId w:val="12"/>
  </w:num>
  <w:num w:numId="5">
    <w:abstractNumId w:val="7"/>
  </w:num>
  <w:num w:numId="6">
    <w:abstractNumId w:val="8"/>
  </w:num>
  <w:num w:numId="7">
    <w:abstractNumId w:val="10"/>
  </w:num>
  <w:num w:numId="8">
    <w:abstractNumId w:val="6"/>
  </w:num>
  <w:num w:numId="9">
    <w:abstractNumId w:val="4"/>
  </w:num>
  <w:num w:numId="10">
    <w:abstractNumId w:val="3"/>
  </w:num>
  <w:num w:numId="11">
    <w:abstractNumId w:val="5"/>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4B"/>
    <w:rsid w:val="0001284F"/>
    <w:rsid w:val="000A7231"/>
    <w:rsid w:val="000B129B"/>
    <w:rsid w:val="000E35EF"/>
    <w:rsid w:val="001C1C9A"/>
    <w:rsid w:val="002523EB"/>
    <w:rsid w:val="002A688F"/>
    <w:rsid w:val="002B4C4B"/>
    <w:rsid w:val="002D7720"/>
    <w:rsid w:val="002F4AC1"/>
    <w:rsid w:val="00310101"/>
    <w:rsid w:val="00340C77"/>
    <w:rsid w:val="003443AF"/>
    <w:rsid w:val="003C3564"/>
    <w:rsid w:val="003C742A"/>
    <w:rsid w:val="003E1A21"/>
    <w:rsid w:val="004451AC"/>
    <w:rsid w:val="004B54E8"/>
    <w:rsid w:val="004D7606"/>
    <w:rsid w:val="0057594D"/>
    <w:rsid w:val="00633076"/>
    <w:rsid w:val="00660046"/>
    <w:rsid w:val="00660053"/>
    <w:rsid w:val="006A2332"/>
    <w:rsid w:val="006C3EA1"/>
    <w:rsid w:val="006F1AB6"/>
    <w:rsid w:val="00713E53"/>
    <w:rsid w:val="007435D5"/>
    <w:rsid w:val="00755047"/>
    <w:rsid w:val="007A5530"/>
    <w:rsid w:val="007B52CB"/>
    <w:rsid w:val="007C3092"/>
    <w:rsid w:val="007C43A0"/>
    <w:rsid w:val="00833F71"/>
    <w:rsid w:val="008C586B"/>
    <w:rsid w:val="008E7AF1"/>
    <w:rsid w:val="009257BC"/>
    <w:rsid w:val="009445AC"/>
    <w:rsid w:val="00994AA9"/>
    <w:rsid w:val="009C0D40"/>
    <w:rsid w:val="009F3E85"/>
    <w:rsid w:val="00A349EC"/>
    <w:rsid w:val="00A95120"/>
    <w:rsid w:val="00A97E2C"/>
    <w:rsid w:val="00AC451E"/>
    <w:rsid w:val="00AE2F30"/>
    <w:rsid w:val="00B15B7D"/>
    <w:rsid w:val="00B924BC"/>
    <w:rsid w:val="00BA25A7"/>
    <w:rsid w:val="00BC79FA"/>
    <w:rsid w:val="00BE28A7"/>
    <w:rsid w:val="00C44752"/>
    <w:rsid w:val="00CA7826"/>
    <w:rsid w:val="00D03AE4"/>
    <w:rsid w:val="00D1002B"/>
    <w:rsid w:val="00D41C0B"/>
    <w:rsid w:val="00D930BC"/>
    <w:rsid w:val="00DF6261"/>
    <w:rsid w:val="00E12B27"/>
    <w:rsid w:val="00E80E90"/>
    <w:rsid w:val="00EC1066"/>
    <w:rsid w:val="00EC2123"/>
    <w:rsid w:val="00F36228"/>
    <w:rsid w:val="00F71398"/>
    <w:rsid w:val="00FC4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4C4B"/>
  </w:style>
  <w:style w:type="paragraph" w:styleId="Nadpis2">
    <w:name w:val="heading 2"/>
    <w:basedOn w:val="Normlny"/>
    <w:link w:val="Nadpis2Char"/>
    <w:uiPriority w:val="9"/>
    <w:qFormat/>
    <w:rsid w:val="002B4C4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qFormat/>
    <w:rsid w:val="002B4C4B"/>
    <w:pPr>
      <w:keepNext/>
      <w:spacing w:before="240" w:after="60" w:line="240" w:lineRule="auto"/>
      <w:outlineLvl w:val="2"/>
    </w:pPr>
    <w:rPr>
      <w:rFonts w:ascii="Arial" w:eastAsia="Times New Roman" w:hAnsi="Arial" w:cs="Arial"/>
      <w:b/>
      <w:bCs/>
      <w:sz w:val="26"/>
      <w:szCs w:val="26"/>
      <w:lang w:val="cs-CZ" w:eastAsia="cs-CZ"/>
    </w:rPr>
  </w:style>
  <w:style w:type="paragraph" w:styleId="Nadpis8">
    <w:name w:val="heading 8"/>
    <w:basedOn w:val="Normlny"/>
    <w:next w:val="Normlny"/>
    <w:link w:val="Nadpis8Char"/>
    <w:uiPriority w:val="9"/>
    <w:unhideWhenUsed/>
    <w:qFormat/>
    <w:rsid w:val="002B4C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B4C4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2B4C4B"/>
    <w:rPr>
      <w:rFonts w:ascii="Arial" w:eastAsia="Times New Roman" w:hAnsi="Arial" w:cs="Arial"/>
      <w:b/>
      <w:bCs/>
      <w:sz w:val="26"/>
      <w:szCs w:val="26"/>
      <w:lang w:val="cs-CZ" w:eastAsia="cs-CZ"/>
    </w:rPr>
  </w:style>
  <w:style w:type="character" w:customStyle="1" w:styleId="Nadpis8Char">
    <w:name w:val="Nadpis 8 Char"/>
    <w:basedOn w:val="Predvolenpsmoodseku"/>
    <w:link w:val="Nadpis8"/>
    <w:uiPriority w:val="9"/>
    <w:rsid w:val="002B4C4B"/>
    <w:rPr>
      <w:rFonts w:asciiTheme="majorHAnsi" w:eastAsiaTheme="majorEastAsia" w:hAnsiTheme="majorHAnsi" w:cstheme="majorBidi"/>
      <w:color w:val="404040" w:themeColor="text1" w:themeTint="BF"/>
      <w:sz w:val="20"/>
      <w:szCs w:val="20"/>
    </w:rPr>
  </w:style>
  <w:style w:type="paragraph" w:styleId="Normlnywebov">
    <w:name w:val="Normal (Web)"/>
    <w:basedOn w:val="Normlny"/>
    <w:uiPriority w:val="99"/>
    <w:semiHidden/>
    <w:unhideWhenUsed/>
    <w:rsid w:val="002B4C4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B4C4B"/>
    <w:rPr>
      <w:i/>
      <w:iCs/>
    </w:rPr>
  </w:style>
  <w:style w:type="character" w:customStyle="1" w:styleId="apple-converted-space">
    <w:name w:val="apple-converted-space"/>
    <w:basedOn w:val="Predvolenpsmoodseku"/>
    <w:rsid w:val="002B4C4B"/>
  </w:style>
  <w:style w:type="character" w:styleId="Hypertextovprepojenie">
    <w:name w:val="Hyperlink"/>
    <w:basedOn w:val="Predvolenpsmoodseku"/>
    <w:uiPriority w:val="99"/>
    <w:unhideWhenUsed/>
    <w:rsid w:val="002B4C4B"/>
    <w:rPr>
      <w:color w:val="0000FF"/>
      <w:u w:val="single"/>
    </w:rPr>
  </w:style>
  <w:style w:type="paragraph" w:styleId="Textbubliny">
    <w:name w:val="Balloon Text"/>
    <w:basedOn w:val="Normlny"/>
    <w:link w:val="TextbublinyChar"/>
    <w:uiPriority w:val="99"/>
    <w:semiHidden/>
    <w:unhideWhenUsed/>
    <w:rsid w:val="002B4C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4C4B"/>
    <w:rPr>
      <w:rFonts w:ascii="Tahoma" w:hAnsi="Tahoma" w:cs="Tahoma"/>
      <w:sz w:val="16"/>
      <w:szCs w:val="16"/>
    </w:rPr>
  </w:style>
  <w:style w:type="paragraph" w:styleId="Odsekzoznamu">
    <w:name w:val="List Paragraph"/>
    <w:basedOn w:val="Normlny"/>
    <w:uiPriority w:val="34"/>
    <w:qFormat/>
    <w:rsid w:val="002B4C4B"/>
    <w:pPr>
      <w:ind w:left="720"/>
      <w:contextualSpacing/>
    </w:pPr>
  </w:style>
  <w:style w:type="character" w:styleId="Siln">
    <w:name w:val="Strong"/>
    <w:basedOn w:val="Predvolenpsmoodseku"/>
    <w:uiPriority w:val="22"/>
    <w:qFormat/>
    <w:rsid w:val="002B4C4B"/>
    <w:rPr>
      <w:b/>
      <w:bCs/>
    </w:rPr>
  </w:style>
  <w:style w:type="paragraph" w:styleId="Hlavika">
    <w:name w:val="header"/>
    <w:basedOn w:val="Normlny"/>
    <w:link w:val="HlavikaChar"/>
    <w:uiPriority w:val="99"/>
    <w:semiHidden/>
    <w:unhideWhenUsed/>
    <w:rsid w:val="002B4C4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B4C4B"/>
  </w:style>
  <w:style w:type="paragraph" w:styleId="Pta">
    <w:name w:val="footer"/>
    <w:basedOn w:val="Normlny"/>
    <w:link w:val="PtaChar"/>
    <w:uiPriority w:val="99"/>
    <w:unhideWhenUsed/>
    <w:rsid w:val="002B4C4B"/>
    <w:pPr>
      <w:tabs>
        <w:tab w:val="center" w:pos="4536"/>
        <w:tab w:val="right" w:pos="9072"/>
      </w:tabs>
      <w:spacing w:after="0" w:line="240" w:lineRule="auto"/>
    </w:pPr>
  </w:style>
  <w:style w:type="character" w:customStyle="1" w:styleId="PtaChar">
    <w:name w:val="Päta Char"/>
    <w:basedOn w:val="Predvolenpsmoodseku"/>
    <w:link w:val="Pta"/>
    <w:uiPriority w:val="99"/>
    <w:rsid w:val="002B4C4B"/>
  </w:style>
  <w:style w:type="paragraph" w:styleId="Bezriadkovania">
    <w:name w:val="No Spacing"/>
    <w:uiPriority w:val="1"/>
    <w:qFormat/>
    <w:rsid w:val="002B4C4B"/>
    <w:pPr>
      <w:spacing w:after="0" w:line="240" w:lineRule="auto"/>
    </w:pPr>
  </w:style>
  <w:style w:type="paragraph" w:styleId="Obyajntext">
    <w:name w:val="Plain Text"/>
    <w:basedOn w:val="Normlny"/>
    <w:link w:val="ObyajntextChar"/>
    <w:uiPriority w:val="99"/>
    <w:unhideWhenUsed/>
    <w:rsid w:val="002B4C4B"/>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rsid w:val="002B4C4B"/>
    <w:rPr>
      <w:rFonts w:ascii="Calibri" w:eastAsia="Calibri" w:hAnsi="Calibri" w:cs="Times New Roman"/>
      <w:szCs w:val="21"/>
    </w:rPr>
  </w:style>
  <w:style w:type="table" w:styleId="Mriekatabuky">
    <w:name w:val="Table Grid"/>
    <w:basedOn w:val="Normlnatabuka"/>
    <w:uiPriority w:val="39"/>
    <w:rsid w:val="002B4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rkazkladnhotextu">
    <w:name w:val="Body Text Indent"/>
    <w:basedOn w:val="Normlny"/>
    <w:link w:val="ZarkazkladnhotextuChar"/>
    <w:rsid w:val="002B4C4B"/>
    <w:pPr>
      <w:spacing w:after="120"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2B4C4B"/>
    <w:rPr>
      <w:rFonts w:ascii="Times New Roman" w:eastAsia="Times New Roman" w:hAnsi="Times New Roman" w:cs="Times New Roman"/>
      <w:sz w:val="24"/>
      <w:szCs w:val="24"/>
      <w:lang w:val="cs-CZ" w:eastAsia="cs-CZ"/>
    </w:rPr>
  </w:style>
  <w:style w:type="paragraph" w:styleId="Zkladntext">
    <w:name w:val="Body Text"/>
    <w:basedOn w:val="Normlny"/>
    <w:link w:val="ZkladntextChar"/>
    <w:uiPriority w:val="99"/>
    <w:semiHidden/>
    <w:unhideWhenUsed/>
    <w:rsid w:val="002B4C4B"/>
    <w:pPr>
      <w:spacing w:after="120"/>
    </w:pPr>
  </w:style>
  <w:style w:type="character" w:customStyle="1" w:styleId="ZkladntextChar">
    <w:name w:val="Základný text Char"/>
    <w:basedOn w:val="Predvolenpsmoodseku"/>
    <w:link w:val="Zkladntext"/>
    <w:uiPriority w:val="99"/>
    <w:semiHidden/>
    <w:rsid w:val="002B4C4B"/>
  </w:style>
  <w:style w:type="paragraph" w:customStyle="1" w:styleId="Pismenka">
    <w:name w:val="Pismenka"/>
    <w:basedOn w:val="Zkladntext"/>
    <w:rsid w:val="002B4C4B"/>
    <w:pPr>
      <w:tabs>
        <w:tab w:val="num" w:pos="426"/>
      </w:tabs>
      <w:spacing w:after="0" w:line="240" w:lineRule="auto"/>
      <w:ind w:left="426" w:hanging="426"/>
      <w:jc w:val="both"/>
    </w:pPr>
    <w:rPr>
      <w:rFonts w:ascii="Times New Roman" w:eastAsia="Times New Roman" w:hAnsi="Times New Roman" w:cs="Times New Roman"/>
      <w:b/>
      <w:sz w:val="18"/>
      <w:szCs w:val="20"/>
      <w:lang w:eastAsia="sk-SK"/>
    </w:rPr>
  </w:style>
  <w:style w:type="table" w:styleId="Strednzoznam2zvraznenie3">
    <w:name w:val="Medium List 2 Accent 3"/>
    <w:basedOn w:val="Normlnatabuka"/>
    <w:uiPriority w:val="66"/>
    <w:rsid w:val="002B4C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1zvraznenie3">
    <w:name w:val="Medium List 1 Accent 3"/>
    <w:basedOn w:val="Normlnatabuka"/>
    <w:uiPriority w:val="65"/>
    <w:rsid w:val="002B4C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etlzoznamzvraznenie3">
    <w:name w:val="Light List Accent 3"/>
    <w:basedOn w:val="Normlnatabuka"/>
    <w:uiPriority w:val="61"/>
    <w:rsid w:val="002B4C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podfarbeniezvraznenie3">
    <w:name w:val="Light Shading Accent 3"/>
    <w:basedOn w:val="Normlnatabuka"/>
    <w:uiPriority w:val="60"/>
    <w:rsid w:val="002B4C4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mriekazvraznenie3">
    <w:name w:val="Light Grid Accent 3"/>
    <w:basedOn w:val="Normlnatabuka"/>
    <w:uiPriority w:val="62"/>
    <w:rsid w:val="002B4C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Farebnmriekazvraznenie3">
    <w:name w:val="Colorful Grid Accent 3"/>
    <w:basedOn w:val="Normlnatabuka"/>
    <w:uiPriority w:val="73"/>
    <w:rsid w:val="002B4C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vetlpodfarbenie1">
    <w:name w:val="Svetlé podfarbenie1"/>
    <w:basedOn w:val="Normlnatabuka"/>
    <w:uiPriority w:val="60"/>
    <w:rsid w:val="002B4C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4C4B"/>
  </w:style>
  <w:style w:type="paragraph" w:styleId="Nadpis2">
    <w:name w:val="heading 2"/>
    <w:basedOn w:val="Normlny"/>
    <w:link w:val="Nadpis2Char"/>
    <w:uiPriority w:val="9"/>
    <w:qFormat/>
    <w:rsid w:val="002B4C4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qFormat/>
    <w:rsid w:val="002B4C4B"/>
    <w:pPr>
      <w:keepNext/>
      <w:spacing w:before="240" w:after="60" w:line="240" w:lineRule="auto"/>
      <w:outlineLvl w:val="2"/>
    </w:pPr>
    <w:rPr>
      <w:rFonts w:ascii="Arial" w:eastAsia="Times New Roman" w:hAnsi="Arial" w:cs="Arial"/>
      <w:b/>
      <w:bCs/>
      <w:sz w:val="26"/>
      <w:szCs w:val="26"/>
      <w:lang w:val="cs-CZ" w:eastAsia="cs-CZ"/>
    </w:rPr>
  </w:style>
  <w:style w:type="paragraph" w:styleId="Nadpis8">
    <w:name w:val="heading 8"/>
    <w:basedOn w:val="Normlny"/>
    <w:next w:val="Normlny"/>
    <w:link w:val="Nadpis8Char"/>
    <w:uiPriority w:val="9"/>
    <w:unhideWhenUsed/>
    <w:qFormat/>
    <w:rsid w:val="002B4C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B4C4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2B4C4B"/>
    <w:rPr>
      <w:rFonts w:ascii="Arial" w:eastAsia="Times New Roman" w:hAnsi="Arial" w:cs="Arial"/>
      <w:b/>
      <w:bCs/>
      <w:sz w:val="26"/>
      <w:szCs w:val="26"/>
      <w:lang w:val="cs-CZ" w:eastAsia="cs-CZ"/>
    </w:rPr>
  </w:style>
  <w:style w:type="character" w:customStyle="1" w:styleId="Nadpis8Char">
    <w:name w:val="Nadpis 8 Char"/>
    <w:basedOn w:val="Predvolenpsmoodseku"/>
    <w:link w:val="Nadpis8"/>
    <w:uiPriority w:val="9"/>
    <w:rsid w:val="002B4C4B"/>
    <w:rPr>
      <w:rFonts w:asciiTheme="majorHAnsi" w:eastAsiaTheme="majorEastAsia" w:hAnsiTheme="majorHAnsi" w:cstheme="majorBidi"/>
      <w:color w:val="404040" w:themeColor="text1" w:themeTint="BF"/>
      <w:sz w:val="20"/>
      <w:szCs w:val="20"/>
    </w:rPr>
  </w:style>
  <w:style w:type="paragraph" w:styleId="Normlnywebov">
    <w:name w:val="Normal (Web)"/>
    <w:basedOn w:val="Normlny"/>
    <w:uiPriority w:val="99"/>
    <w:semiHidden/>
    <w:unhideWhenUsed/>
    <w:rsid w:val="002B4C4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B4C4B"/>
    <w:rPr>
      <w:i/>
      <w:iCs/>
    </w:rPr>
  </w:style>
  <w:style w:type="character" w:customStyle="1" w:styleId="apple-converted-space">
    <w:name w:val="apple-converted-space"/>
    <w:basedOn w:val="Predvolenpsmoodseku"/>
    <w:rsid w:val="002B4C4B"/>
  </w:style>
  <w:style w:type="character" w:styleId="Hypertextovprepojenie">
    <w:name w:val="Hyperlink"/>
    <w:basedOn w:val="Predvolenpsmoodseku"/>
    <w:uiPriority w:val="99"/>
    <w:unhideWhenUsed/>
    <w:rsid w:val="002B4C4B"/>
    <w:rPr>
      <w:color w:val="0000FF"/>
      <w:u w:val="single"/>
    </w:rPr>
  </w:style>
  <w:style w:type="paragraph" w:styleId="Textbubliny">
    <w:name w:val="Balloon Text"/>
    <w:basedOn w:val="Normlny"/>
    <w:link w:val="TextbublinyChar"/>
    <w:uiPriority w:val="99"/>
    <w:semiHidden/>
    <w:unhideWhenUsed/>
    <w:rsid w:val="002B4C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4C4B"/>
    <w:rPr>
      <w:rFonts w:ascii="Tahoma" w:hAnsi="Tahoma" w:cs="Tahoma"/>
      <w:sz w:val="16"/>
      <w:szCs w:val="16"/>
    </w:rPr>
  </w:style>
  <w:style w:type="paragraph" w:styleId="Odsekzoznamu">
    <w:name w:val="List Paragraph"/>
    <w:basedOn w:val="Normlny"/>
    <w:uiPriority w:val="34"/>
    <w:qFormat/>
    <w:rsid w:val="002B4C4B"/>
    <w:pPr>
      <w:ind w:left="720"/>
      <w:contextualSpacing/>
    </w:pPr>
  </w:style>
  <w:style w:type="character" w:styleId="Siln">
    <w:name w:val="Strong"/>
    <w:basedOn w:val="Predvolenpsmoodseku"/>
    <w:uiPriority w:val="22"/>
    <w:qFormat/>
    <w:rsid w:val="002B4C4B"/>
    <w:rPr>
      <w:b/>
      <w:bCs/>
    </w:rPr>
  </w:style>
  <w:style w:type="paragraph" w:styleId="Hlavika">
    <w:name w:val="header"/>
    <w:basedOn w:val="Normlny"/>
    <w:link w:val="HlavikaChar"/>
    <w:uiPriority w:val="99"/>
    <w:semiHidden/>
    <w:unhideWhenUsed/>
    <w:rsid w:val="002B4C4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B4C4B"/>
  </w:style>
  <w:style w:type="paragraph" w:styleId="Pta">
    <w:name w:val="footer"/>
    <w:basedOn w:val="Normlny"/>
    <w:link w:val="PtaChar"/>
    <w:uiPriority w:val="99"/>
    <w:unhideWhenUsed/>
    <w:rsid w:val="002B4C4B"/>
    <w:pPr>
      <w:tabs>
        <w:tab w:val="center" w:pos="4536"/>
        <w:tab w:val="right" w:pos="9072"/>
      </w:tabs>
      <w:spacing w:after="0" w:line="240" w:lineRule="auto"/>
    </w:pPr>
  </w:style>
  <w:style w:type="character" w:customStyle="1" w:styleId="PtaChar">
    <w:name w:val="Päta Char"/>
    <w:basedOn w:val="Predvolenpsmoodseku"/>
    <w:link w:val="Pta"/>
    <w:uiPriority w:val="99"/>
    <w:rsid w:val="002B4C4B"/>
  </w:style>
  <w:style w:type="paragraph" w:styleId="Bezriadkovania">
    <w:name w:val="No Spacing"/>
    <w:uiPriority w:val="1"/>
    <w:qFormat/>
    <w:rsid w:val="002B4C4B"/>
    <w:pPr>
      <w:spacing w:after="0" w:line="240" w:lineRule="auto"/>
    </w:pPr>
  </w:style>
  <w:style w:type="paragraph" w:styleId="Obyajntext">
    <w:name w:val="Plain Text"/>
    <w:basedOn w:val="Normlny"/>
    <w:link w:val="ObyajntextChar"/>
    <w:uiPriority w:val="99"/>
    <w:unhideWhenUsed/>
    <w:rsid w:val="002B4C4B"/>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rsid w:val="002B4C4B"/>
    <w:rPr>
      <w:rFonts w:ascii="Calibri" w:eastAsia="Calibri" w:hAnsi="Calibri" w:cs="Times New Roman"/>
      <w:szCs w:val="21"/>
    </w:rPr>
  </w:style>
  <w:style w:type="table" w:styleId="Mriekatabuky">
    <w:name w:val="Table Grid"/>
    <w:basedOn w:val="Normlnatabuka"/>
    <w:uiPriority w:val="39"/>
    <w:rsid w:val="002B4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rkazkladnhotextu">
    <w:name w:val="Body Text Indent"/>
    <w:basedOn w:val="Normlny"/>
    <w:link w:val="ZarkazkladnhotextuChar"/>
    <w:rsid w:val="002B4C4B"/>
    <w:pPr>
      <w:spacing w:after="120"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2B4C4B"/>
    <w:rPr>
      <w:rFonts w:ascii="Times New Roman" w:eastAsia="Times New Roman" w:hAnsi="Times New Roman" w:cs="Times New Roman"/>
      <w:sz w:val="24"/>
      <w:szCs w:val="24"/>
      <w:lang w:val="cs-CZ" w:eastAsia="cs-CZ"/>
    </w:rPr>
  </w:style>
  <w:style w:type="paragraph" w:styleId="Zkladntext">
    <w:name w:val="Body Text"/>
    <w:basedOn w:val="Normlny"/>
    <w:link w:val="ZkladntextChar"/>
    <w:uiPriority w:val="99"/>
    <w:semiHidden/>
    <w:unhideWhenUsed/>
    <w:rsid w:val="002B4C4B"/>
    <w:pPr>
      <w:spacing w:after="120"/>
    </w:pPr>
  </w:style>
  <w:style w:type="character" w:customStyle="1" w:styleId="ZkladntextChar">
    <w:name w:val="Základný text Char"/>
    <w:basedOn w:val="Predvolenpsmoodseku"/>
    <w:link w:val="Zkladntext"/>
    <w:uiPriority w:val="99"/>
    <w:semiHidden/>
    <w:rsid w:val="002B4C4B"/>
  </w:style>
  <w:style w:type="paragraph" w:customStyle="1" w:styleId="Pismenka">
    <w:name w:val="Pismenka"/>
    <w:basedOn w:val="Zkladntext"/>
    <w:rsid w:val="002B4C4B"/>
    <w:pPr>
      <w:tabs>
        <w:tab w:val="num" w:pos="426"/>
      </w:tabs>
      <w:spacing w:after="0" w:line="240" w:lineRule="auto"/>
      <w:ind w:left="426" w:hanging="426"/>
      <w:jc w:val="both"/>
    </w:pPr>
    <w:rPr>
      <w:rFonts w:ascii="Times New Roman" w:eastAsia="Times New Roman" w:hAnsi="Times New Roman" w:cs="Times New Roman"/>
      <w:b/>
      <w:sz w:val="18"/>
      <w:szCs w:val="20"/>
      <w:lang w:eastAsia="sk-SK"/>
    </w:rPr>
  </w:style>
  <w:style w:type="table" w:styleId="Strednzoznam2zvraznenie3">
    <w:name w:val="Medium List 2 Accent 3"/>
    <w:basedOn w:val="Normlnatabuka"/>
    <w:uiPriority w:val="66"/>
    <w:rsid w:val="002B4C4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1zvraznenie3">
    <w:name w:val="Medium List 1 Accent 3"/>
    <w:basedOn w:val="Normlnatabuka"/>
    <w:uiPriority w:val="65"/>
    <w:rsid w:val="002B4C4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etlzoznamzvraznenie3">
    <w:name w:val="Light List Accent 3"/>
    <w:basedOn w:val="Normlnatabuka"/>
    <w:uiPriority w:val="61"/>
    <w:rsid w:val="002B4C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podfarbeniezvraznenie3">
    <w:name w:val="Light Shading Accent 3"/>
    <w:basedOn w:val="Normlnatabuka"/>
    <w:uiPriority w:val="60"/>
    <w:rsid w:val="002B4C4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mriekazvraznenie3">
    <w:name w:val="Light Grid Accent 3"/>
    <w:basedOn w:val="Normlnatabuka"/>
    <w:uiPriority w:val="62"/>
    <w:rsid w:val="002B4C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Farebnmriekazvraznenie3">
    <w:name w:val="Colorful Grid Accent 3"/>
    <w:basedOn w:val="Normlnatabuka"/>
    <w:uiPriority w:val="73"/>
    <w:rsid w:val="002B4C4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vetlpodfarbenie1">
    <w:name w:val="Svetlé podfarbenie1"/>
    <w:basedOn w:val="Normlnatabuka"/>
    <w:uiPriority w:val="60"/>
    <w:rsid w:val="002B4C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806">
      <w:bodyDiv w:val="1"/>
      <w:marLeft w:val="0"/>
      <w:marRight w:val="0"/>
      <w:marTop w:val="0"/>
      <w:marBottom w:val="0"/>
      <w:divBdr>
        <w:top w:val="none" w:sz="0" w:space="0" w:color="auto"/>
        <w:left w:val="none" w:sz="0" w:space="0" w:color="auto"/>
        <w:bottom w:val="none" w:sz="0" w:space="0" w:color="auto"/>
        <w:right w:val="none" w:sz="0" w:space="0" w:color="auto"/>
      </w:divBdr>
    </w:div>
    <w:div w:id="70544758">
      <w:bodyDiv w:val="1"/>
      <w:marLeft w:val="0"/>
      <w:marRight w:val="0"/>
      <w:marTop w:val="0"/>
      <w:marBottom w:val="0"/>
      <w:divBdr>
        <w:top w:val="none" w:sz="0" w:space="0" w:color="auto"/>
        <w:left w:val="none" w:sz="0" w:space="0" w:color="auto"/>
        <w:bottom w:val="none" w:sz="0" w:space="0" w:color="auto"/>
        <w:right w:val="none" w:sz="0" w:space="0" w:color="auto"/>
      </w:divBdr>
    </w:div>
    <w:div w:id="186916830">
      <w:bodyDiv w:val="1"/>
      <w:marLeft w:val="0"/>
      <w:marRight w:val="0"/>
      <w:marTop w:val="0"/>
      <w:marBottom w:val="0"/>
      <w:divBdr>
        <w:top w:val="none" w:sz="0" w:space="0" w:color="auto"/>
        <w:left w:val="none" w:sz="0" w:space="0" w:color="auto"/>
        <w:bottom w:val="none" w:sz="0" w:space="0" w:color="auto"/>
        <w:right w:val="none" w:sz="0" w:space="0" w:color="auto"/>
      </w:divBdr>
    </w:div>
    <w:div w:id="305163123">
      <w:bodyDiv w:val="1"/>
      <w:marLeft w:val="0"/>
      <w:marRight w:val="0"/>
      <w:marTop w:val="0"/>
      <w:marBottom w:val="0"/>
      <w:divBdr>
        <w:top w:val="none" w:sz="0" w:space="0" w:color="auto"/>
        <w:left w:val="none" w:sz="0" w:space="0" w:color="auto"/>
        <w:bottom w:val="none" w:sz="0" w:space="0" w:color="auto"/>
        <w:right w:val="none" w:sz="0" w:space="0" w:color="auto"/>
      </w:divBdr>
    </w:div>
    <w:div w:id="554663853">
      <w:bodyDiv w:val="1"/>
      <w:marLeft w:val="0"/>
      <w:marRight w:val="0"/>
      <w:marTop w:val="0"/>
      <w:marBottom w:val="0"/>
      <w:divBdr>
        <w:top w:val="none" w:sz="0" w:space="0" w:color="auto"/>
        <w:left w:val="none" w:sz="0" w:space="0" w:color="auto"/>
        <w:bottom w:val="none" w:sz="0" w:space="0" w:color="auto"/>
        <w:right w:val="none" w:sz="0" w:space="0" w:color="auto"/>
      </w:divBdr>
    </w:div>
    <w:div w:id="654802431">
      <w:bodyDiv w:val="1"/>
      <w:marLeft w:val="0"/>
      <w:marRight w:val="0"/>
      <w:marTop w:val="0"/>
      <w:marBottom w:val="0"/>
      <w:divBdr>
        <w:top w:val="none" w:sz="0" w:space="0" w:color="auto"/>
        <w:left w:val="none" w:sz="0" w:space="0" w:color="auto"/>
        <w:bottom w:val="none" w:sz="0" w:space="0" w:color="auto"/>
        <w:right w:val="none" w:sz="0" w:space="0" w:color="auto"/>
      </w:divBdr>
    </w:div>
    <w:div w:id="712659506">
      <w:bodyDiv w:val="1"/>
      <w:marLeft w:val="0"/>
      <w:marRight w:val="0"/>
      <w:marTop w:val="0"/>
      <w:marBottom w:val="0"/>
      <w:divBdr>
        <w:top w:val="none" w:sz="0" w:space="0" w:color="auto"/>
        <w:left w:val="none" w:sz="0" w:space="0" w:color="auto"/>
        <w:bottom w:val="none" w:sz="0" w:space="0" w:color="auto"/>
        <w:right w:val="none" w:sz="0" w:space="0" w:color="auto"/>
      </w:divBdr>
    </w:div>
    <w:div w:id="1451586805">
      <w:bodyDiv w:val="1"/>
      <w:marLeft w:val="0"/>
      <w:marRight w:val="0"/>
      <w:marTop w:val="0"/>
      <w:marBottom w:val="0"/>
      <w:divBdr>
        <w:top w:val="none" w:sz="0" w:space="0" w:color="auto"/>
        <w:left w:val="none" w:sz="0" w:space="0" w:color="auto"/>
        <w:bottom w:val="none" w:sz="0" w:space="0" w:color="auto"/>
        <w:right w:val="none" w:sz="0" w:space="0" w:color="auto"/>
      </w:divBdr>
    </w:div>
    <w:div w:id="1516189471">
      <w:bodyDiv w:val="1"/>
      <w:marLeft w:val="0"/>
      <w:marRight w:val="0"/>
      <w:marTop w:val="0"/>
      <w:marBottom w:val="0"/>
      <w:divBdr>
        <w:top w:val="none" w:sz="0" w:space="0" w:color="auto"/>
        <w:left w:val="none" w:sz="0" w:space="0" w:color="auto"/>
        <w:bottom w:val="none" w:sz="0" w:space="0" w:color="auto"/>
        <w:right w:val="none" w:sz="0" w:space="0" w:color="auto"/>
      </w:divBdr>
    </w:div>
    <w:div w:id="1715620697">
      <w:bodyDiv w:val="1"/>
      <w:marLeft w:val="0"/>
      <w:marRight w:val="0"/>
      <w:marTop w:val="0"/>
      <w:marBottom w:val="0"/>
      <w:divBdr>
        <w:top w:val="none" w:sz="0" w:space="0" w:color="auto"/>
        <w:left w:val="none" w:sz="0" w:space="0" w:color="auto"/>
        <w:bottom w:val="none" w:sz="0" w:space="0" w:color="auto"/>
        <w:right w:val="none" w:sz="0" w:space="0" w:color="auto"/>
      </w:divBdr>
    </w:div>
    <w:div w:id="1926717699">
      <w:bodyDiv w:val="1"/>
      <w:marLeft w:val="0"/>
      <w:marRight w:val="0"/>
      <w:marTop w:val="0"/>
      <w:marBottom w:val="0"/>
      <w:divBdr>
        <w:top w:val="none" w:sz="0" w:space="0" w:color="auto"/>
        <w:left w:val="none" w:sz="0" w:space="0" w:color="auto"/>
        <w:bottom w:val="none" w:sz="0" w:space="0" w:color="auto"/>
        <w:right w:val="none" w:sz="0" w:space="0" w:color="auto"/>
      </w:divBdr>
    </w:div>
    <w:div w:id="1973628124">
      <w:bodyDiv w:val="1"/>
      <w:marLeft w:val="0"/>
      <w:marRight w:val="0"/>
      <w:marTop w:val="0"/>
      <w:marBottom w:val="0"/>
      <w:divBdr>
        <w:top w:val="none" w:sz="0" w:space="0" w:color="auto"/>
        <w:left w:val="none" w:sz="0" w:space="0" w:color="auto"/>
        <w:bottom w:val="none" w:sz="0" w:space="0" w:color="auto"/>
        <w:right w:val="none" w:sz="0" w:space="0" w:color="auto"/>
      </w:divBdr>
    </w:div>
    <w:div w:id="1976636336">
      <w:bodyDiv w:val="1"/>
      <w:marLeft w:val="0"/>
      <w:marRight w:val="0"/>
      <w:marTop w:val="0"/>
      <w:marBottom w:val="0"/>
      <w:divBdr>
        <w:top w:val="none" w:sz="0" w:space="0" w:color="auto"/>
        <w:left w:val="none" w:sz="0" w:space="0" w:color="auto"/>
        <w:bottom w:val="none" w:sz="0" w:space="0" w:color="auto"/>
        <w:right w:val="none" w:sz="0" w:space="0" w:color="auto"/>
      </w:divBdr>
    </w:div>
    <w:div w:id="2116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kt&#243;ria\Desktop\MR%20CN\PHSR\Rastislavice\Grafy%20a%20tabu&#318;ky%20Rastislav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0"/>
      <c:rAngAx val="0"/>
      <c:perspective val="30"/>
    </c:view3D>
    <c:floor>
      <c:thickness val="0"/>
    </c:floor>
    <c:sideWall>
      <c:thickness val="0"/>
    </c:sideWall>
    <c:backWall>
      <c:thickness val="0"/>
    </c:backWall>
    <c:plotArea>
      <c:layout/>
      <c:pie3DChart>
        <c:varyColors val="1"/>
        <c:ser>
          <c:idx val="0"/>
          <c:order val="0"/>
          <c:tx>
            <c:v>Využitie pôdneho fondu</c:v>
          </c:tx>
          <c:dLbls>
            <c:dLbl>
              <c:idx val="1"/>
              <c:layout>
                <c:manualLayout>
                  <c:x val="8.2364173228346466E-2"/>
                  <c:y val="-8.312700495771376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6.3828302712160945E-2"/>
                  <c:y val="-8.4281131525226045E-4"/>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0.11482064741907269"/>
                  <c:y val="4.5135608048993914E-2"/>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3.4022309711286086E-2"/>
                  <c:y val="7.4391586468358181E-2"/>
                </c:manualLayout>
              </c:layout>
              <c:showLegendKey val="0"/>
              <c:showVal val="1"/>
              <c:showCatName val="0"/>
              <c:showSerName val="0"/>
              <c:showPercent val="1"/>
              <c:showBubbleSize val="0"/>
              <c:extLst>
                <c:ext xmlns:c15="http://schemas.microsoft.com/office/drawing/2012/chart" uri="{CE6537A1-D6FC-4f65-9D91-7224C49458BB}"/>
              </c:extLst>
            </c:dLbl>
            <c:dLbl>
              <c:idx val="5"/>
              <c:layout>
                <c:manualLayout>
                  <c:x val="-2.455927384076995E-2"/>
                  <c:y val="9.8706620005832871E-2"/>
                </c:manualLayout>
              </c:layout>
              <c:showLegendKey val="0"/>
              <c:showVal val="1"/>
              <c:showCatName val="0"/>
              <c:showSerName val="0"/>
              <c:showPercent val="1"/>
              <c:showBubbleSize val="0"/>
              <c:extLst>
                <c:ext xmlns:c15="http://schemas.microsoft.com/office/drawing/2012/chart" uri="{CE6537A1-D6FC-4f65-9D91-7224C49458BB}"/>
              </c:extLst>
            </c:dLbl>
            <c:dLbl>
              <c:idx val="6"/>
              <c:layout>
                <c:manualLayout>
                  <c:x val="-7.7281605424322011E-2"/>
                  <c:y val="7.376385243511234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Hárok1!$B$2:$H$2</c:f>
              <c:strCache>
                <c:ptCount val="7"/>
                <c:pt idx="0">
                  <c:v>Ornápôda</c:v>
                </c:pt>
                <c:pt idx="1">
                  <c:v>Trvalé kultúry</c:v>
                </c:pt>
                <c:pt idx="2">
                  <c:v>TTP</c:v>
                </c:pt>
                <c:pt idx="3">
                  <c:v>Lesná pôda</c:v>
                </c:pt>
                <c:pt idx="4">
                  <c:v>Vodná pôda</c:v>
                </c:pt>
                <c:pt idx="5">
                  <c:v>Zastavaná pôda</c:v>
                </c:pt>
                <c:pt idx="6">
                  <c:v>Ostatná pôda</c:v>
                </c:pt>
              </c:strCache>
            </c:strRef>
          </c:cat>
          <c:val>
            <c:numRef>
              <c:f>Hárok1!$B$3:$H$3</c:f>
              <c:numCache>
                <c:formatCode>General</c:formatCode>
                <c:ptCount val="7"/>
                <c:pt idx="0">
                  <c:v>1730</c:v>
                </c:pt>
                <c:pt idx="1">
                  <c:v>0</c:v>
                </c:pt>
                <c:pt idx="2">
                  <c:v>23</c:v>
                </c:pt>
                <c:pt idx="3">
                  <c:v>7</c:v>
                </c:pt>
                <c:pt idx="4">
                  <c:v>8</c:v>
                </c:pt>
                <c:pt idx="5">
                  <c:v>54</c:v>
                </c:pt>
                <c:pt idx="6">
                  <c:v>39</c:v>
                </c:pt>
              </c:numCache>
            </c:numRef>
          </c:val>
        </c:ser>
        <c:dLbls>
          <c:showLegendKey val="0"/>
          <c:showVal val="1"/>
          <c:showCatName val="0"/>
          <c:showSerName val="0"/>
          <c:showPercent val="0"/>
          <c:showBubbleSize val="0"/>
          <c:showLeaderLines val="1"/>
        </c:dLbls>
      </c:pie3DChart>
    </c:plotArea>
    <c:legend>
      <c:legendPos val="r"/>
      <c:overlay val="0"/>
      <c:txPr>
        <a:bodyPr/>
        <a:lstStyle/>
        <a:p>
          <a:pPr rtl="0">
            <a:defRPr/>
          </a:pPr>
          <a:endParaRPr lang="sk-SK"/>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Hárok1!$U$43</c:f>
              <c:strCache>
                <c:ptCount val="1"/>
                <c:pt idx="0">
                  <c:v>Predproduktívny vek 0-14</c:v>
                </c:pt>
              </c:strCache>
            </c:strRef>
          </c:tx>
          <c:spPr>
            <a:ln w="38100" cap="flat" cmpd="sng" algn="ctr">
              <a:solidFill>
                <a:schemeClr val="accent1"/>
              </a:solidFill>
              <a:prstDash val="solid"/>
            </a:ln>
            <a:effectLst/>
          </c:spPr>
          <c:marker>
            <c:symbol val="none"/>
          </c:marker>
          <c:cat>
            <c:numRef>
              <c:f>Hárok1!$V$42:$AE$42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Hárok1!$V$43:$AE$43</c:f>
              <c:numCache>
                <c:formatCode>General</c:formatCode>
                <c:ptCount val="10"/>
                <c:pt idx="0">
                  <c:v>117</c:v>
                </c:pt>
                <c:pt idx="1">
                  <c:v>109</c:v>
                </c:pt>
                <c:pt idx="2">
                  <c:v>109</c:v>
                </c:pt>
                <c:pt idx="3">
                  <c:v>110</c:v>
                </c:pt>
                <c:pt idx="4">
                  <c:v>115</c:v>
                </c:pt>
                <c:pt idx="5">
                  <c:v>118</c:v>
                </c:pt>
                <c:pt idx="6">
                  <c:v>119</c:v>
                </c:pt>
                <c:pt idx="7">
                  <c:v>121</c:v>
                </c:pt>
                <c:pt idx="8">
                  <c:v>122</c:v>
                </c:pt>
                <c:pt idx="9">
                  <c:v>127</c:v>
                </c:pt>
              </c:numCache>
            </c:numRef>
          </c:val>
          <c:smooth val="0"/>
        </c:ser>
        <c:ser>
          <c:idx val="1"/>
          <c:order val="1"/>
          <c:tx>
            <c:strRef>
              <c:f>Hárok1!$U$44</c:f>
              <c:strCache>
                <c:ptCount val="1"/>
                <c:pt idx="0">
                  <c:v>Produktívny vek 15-62</c:v>
                </c:pt>
              </c:strCache>
            </c:strRef>
          </c:tx>
          <c:spPr>
            <a:ln w="38100" cap="flat" cmpd="sng" algn="ctr">
              <a:solidFill>
                <a:schemeClr val="accent3"/>
              </a:solidFill>
              <a:prstDash val="solid"/>
            </a:ln>
            <a:effectLst/>
          </c:spPr>
          <c:marker>
            <c:symbol val="none"/>
          </c:marker>
          <c:cat>
            <c:numRef>
              <c:f>Hárok1!$V$42:$AE$42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Hárok1!$V$44:$AE$44</c:f>
              <c:numCache>
                <c:formatCode>General</c:formatCode>
                <c:ptCount val="10"/>
                <c:pt idx="0">
                  <c:v>644</c:v>
                </c:pt>
                <c:pt idx="1">
                  <c:v>644</c:v>
                </c:pt>
                <c:pt idx="2">
                  <c:v>635</c:v>
                </c:pt>
                <c:pt idx="3">
                  <c:v>641</c:v>
                </c:pt>
                <c:pt idx="4">
                  <c:v>604</c:v>
                </c:pt>
                <c:pt idx="5">
                  <c:v>602</c:v>
                </c:pt>
                <c:pt idx="6">
                  <c:v>607</c:v>
                </c:pt>
                <c:pt idx="7">
                  <c:v>601</c:v>
                </c:pt>
                <c:pt idx="8">
                  <c:v>601</c:v>
                </c:pt>
                <c:pt idx="9">
                  <c:v>619</c:v>
                </c:pt>
              </c:numCache>
            </c:numRef>
          </c:val>
          <c:smooth val="0"/>
        </c:ser>
        <c:ser>
          <c:idx val="2"/>
          <c:order val="2"/>
          <c:tx>
            <c:strRef>
              <c:f>Hárok1!$U$45</c:f>
              <c:strCache>
                <c:ptCount val="1"/>
                <c:pt idx="0">
                  <c:v>Poproduktívny vek 62+</c:v>
                </c:pt>
              </c:strCache>
            </c:strRef>
          </c:tx>
          <c:spPr>
            <a:ln w="38100" cap="flat" cmpd="sng" algn="ctr">
              <a:solidFill>
                <a:schemeClr val="accent2"/>
              </a:solidFill>
              <a:prstDash val="solid"/>
            </a:ln>
            <a:effectLst/>
          </c:spPr>
          <c:marker>
            <c:symbol val="none"/>
          </c:marker>
          <c:cat>
            <c:numRef>
              <c:f>Hárok1!$V$42:$AE$42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Hárok1!$V$45:$AE$45</c:f>
              <c:numCache>
                <c:formatCode>General</c:formatCode>
                <c:ptCount val="10"/>
                <c:pt idx="0">
                  <c:v>152</c:v>
                </c:pt>
                <c:pt idx="1">
                  <c:v>156</c:v>
                </c:pt>
                <c:pt idx="2">
                  <c:v>156</c:v>
                </c:pt>
                <c:pt idx="3">
                  <c:v>166</c:v>
                </c:pt>
                <c:pt idx="4">
                  <c:v>188</c:v>
                </c:pt>
                <c:pt idx="5">
                  <c:v>188</c:v>
                </c:pt>
                <c:pt idx="6">
                  <c:v>174</c:v>
                </c:pt>
                <c:pt idx="7">
                  <c:v>174</c:v>
                </c:pt>
                <c:pt idx="8">
                  <c:v>165</c:v>
                </c:pt>
                <c:pt idx="9">
                  <c:v>163</c:v>
                </c:pt>
              </c:numCache>
            </c:numRef>
          </c:val>
          <c:smooth val="0"/>
        </c:ser>
        <c:dLbls>
          <c:showLegendKey val="0"/>
          <c:showVal val="0"/>
          <c:showCatName val="0"/>
          <c:showSerName val="0"/>
          <c:showPercent val="0"/>
          <c:showBubbleSize val="0"/>
        </c:dLbls>
        <c:marker val="1"/>
        <c:smooth val="0"/>
        <c:axId val="199300992"/>
        <c:axId val="199302528"/>
      </c:lineChart>
      <c:catAx>
        <c:axId val="199300992"/>
        <c:scaling>
          <c:orientation val="minMax"/>
        </c:scaling>
        <c:delete val="0"/>
        <c:axPos val="b"/>
        <c:numFmt formatCode="General" sourceLinked="1"/>
        <c:majorTickMark val="out"/>
        <c:minorTickMark val="none"/>
        <c:tickLblPos val="nextTo"/>
        <c:crossAx val="199302528"/>
        <c:crosses val="autoZero"/>
        <c:auto val="1"/>
        <c:lblAlgn val="ctr"/>
        <c:lblOffset val="100"/>
        <c:noMultiLvlLbl val="0"/>
      </c:catAx>
      <c:valAx>
        <c:axId val="199302528"/>
        <c:scaling>
          <c:orientation val="minMax"/>
        </c:scaling>
        <c:delete val="0"/>
        <c:axPos val="l"/>
        <c:majorGridlines/>
        <c:numFmt formatCode="General" sourceLinked="1"/>
        <c:majorTickMark val="out"/>
        <c:minorTickMark val="none"/>
        <c:tickLblPos val="nextTo"/>
        <c:crossAx val="19930099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Hárok1!$B$134:$C$134</c:f>
              <c:strCache>
                <c:ptCount val="2"/>
                <c:pt idx="0">
                  <c:v>Ekonomicky aktívne obyvateľstvo</c:v>
                </c:pt>
                <c:pt idx="1">
                  <c:v>Ekonomicky neaktívne obyvateľtsvo</c:v>
                </c:pt>
              </c:strCache>
            </c:strRef>
          </c:cat>
          <c:val>
            <c:numRef>
              <c:f>Hárok1!$B$135:$C$135</c:f>
              <c:numCache>
                <c:formatCode>General</c:formatCode>
                <c:ptCount val="2"/>
                <c:pt idx="0">
                  <c:v>431</c:v>
                </c:pt>
                <c:pt idx="1">
                  <c:v>475</c:v>
                </c:pt>
              </c:numCache>
            </c:numRef>
          </c:val>
        </c:ser>
        <c:dLbls>
          <c:showLegendKey val="0"/>
          <c:showVal val="1"/>
          <c:showCatName val="0"/>
          <c:showSerName val="0"/>
          <c:showPercent val="0"/>
          <c:showBubbleSize val="0"/>
          <c:showLeaderLines val="1"/>
        </c:dLbls>
      </c:pie3DChart>
    </c:plotArea>
    <c:legend>
      <c:legendPos val="r"/>
      <c:overlay val="0"/>
      <c:txPr>
        <a:bodyPr/>
        <a:lstStyle/>
        <a:p>
          <a:pPr rtl="0">
            <a:defRPr/>
          </a:pPr>
          <a:endParaRPr lang="sk-SK"/>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81489813773283"/>
          <c:y val="4.6230027517951577E-2"/>
          <c:w val="0.62400324959380082"/>
          <c:h val="0.43783575720596241"/>
        </c:manualLayout>
      </c:layout>
      <c:barChart>
        <c:barDir val="col"/>
        <c:grouping val="clustered"/>
        <c:varyColors val="0"/>
        <c:ser>
          <c:idx val="0"/>
          <c:order val="0"/>
          <c:tx>
            <c:v>Počet obyvateľov v %</c:v>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Hárok1!$B$141:$B$153</c:f>
              <c:strCache>
                <c:ptCount val="13"/>
                <c:pt idx="0">
                  <c:v>pracujúci (okrem dôchodcov)</c:v>
                </c:pt>
                <c:pt idx="1">
                  <c:v>pracujúci dôchodcovia</c:v>
                </c:pt>
                <c:pt idx="2">
                  <c:v>osoby na materskej dovolenke</c:v>
                </c:pt>
                <c:pt idx="3">
                  <c:v>osoby na rodičovskej dovolenke</c:v>
                </c:pt>
                <c:pt idx="4">
                  <c:v>nezamestnaní</c:v>
                </c:pt>
                <c:pt idx="5">
                  <c:v>študenti stredných škôl</c:v>
                </c:pt>
                <c:pt idx="6">
                  <c:v>študenti vysokých škôl</c:v>
                </c:pt>
                <c:pt idx="7">
                  <c:v>osoby v domácnosti</c:v>
                </c:pt>
                <c:pt idx="8">
                  <c:v>dôchodcovia</c:v>
                </c:pt>
                <c:pt idx="9">
                  <c:v>príjemcovia kapitálových príjmov</c:v>
                </c:pt>
                <c:pt idx="10">
                  <c:v>deti do 16 rokov</c:v>
                </c:pt>
                <c:pt idx="11">
                  <c:v>iná</c:v>
                </c:pt>
                <c:pt idx="12">
                  <c:v>nezistená</c:v>
                </c:pt>
              </c:strCache>
            </c:strRef>
          </c:cat>
          <c:val>
            <c:numRef>
              <c:f>Hárok1!$D$141:$D$153</c:f>
              <c:numCache>
                <c:formatCode>0.0%</c:formatCode>
                <c:ptCount val="13"/>
                <c:pt idx="0">
                  <c:v>0.37748344370860937</c:v>
                </c:pt>
                <c:pt idx="1">
                  <c:v>1.6556291390728482E-2</c:v>
                </c:pt>
                <c:pt idx="2">
                  <c:v>5.5187637969094936E-3</c:v>
                </c:pt>
                <c:pt idx="3">
                  <c:v>2.8697571743929368E-2</c:v>
                </c:pt>
                <c:pt idx="4">
                  <c:v>7.615894039735098E-2</c:v>
                </c:pt>
                <c:pt idx="5">
                  <c:v>4.3046357615894031E-2</c:v>
                </c:pt>
                <c:pt idx="6">
                  <c:v>2.0971302428256084E-2</c:v>
                </c:pt>
                <c:pt idx="7">
                  <c:v>9.9337748344370883E-3</c:v>
                </c:pt>
                <c:pt idx="8">
                  <c:v>0.2339955849889625</c:v>
                </c:pt>
                <c:pt idx="9">
                  <c:v>0</c:v>
                </c:pt>
                <c:pt idx="10">
                  <c:v>0.15121412803532014</c:v>
                </c:pt>
                <c:pt idx="11">
                  <c:v>8.8300220750551876E-3</c:v>
                </c:pt>
                <c:pt idx="12">
                  <c:v>2.7593818984547467E-2</c:v>
                </c:pt>
              </c:numCache>
            </c:numRef>
          </c:val>
        </c:ser>
        <c:dLbls>
          <c:showLegendKey val="0"/>
          <c:showVal val="1"/>
          <c:showCatName val="0"/>
          <c:showSerName val="0"/>
          <c:showPercent val="0"/>
          <c:showBubbleSize val="0"/>
        </c:dLbls>
        <c:gapWidth val="150"/>
        <c:axId val="199354624"/>
        <c:axId val="199036928"/>
      </c:barChart>
      <c:catAx>
        <c:axId val="199354624"/>
        <c:scaling>
          <c:orientation val="minMax"/>
        </c:scaling>
        <c:delete val="0"/>
        <c:axPos val="b"/>
        <c:numFmt formatCode="General" sourceLinked="0"/>
        <c:majorTickMark val="out"/>
        <c:minorTickMark val="none"/>
        <c:tickLblPos val="nextTo"/>
        <c:crossAx val="199036928"/>
        <c:crosses val="autoZero"/>
        <c:auto val="1"/>
        <c:lblAlgn val="ctr"/>
        <c:lblOffset val="100"/>
        <c:noMultiLvlLbl val="0"/>
      </c:catAx>
      <c:valAx>
        <c:axId val="199036928"/>
        <c:scaling>
          <c:orientation val="minMax"/>
        </c:scaling>
        <c:delete val="0"/>
        <c:axPos val="l"/>
        <c:majorGridlines/>
        <c:numFmt formatCode="0.0%" sourceLinked="1"/>
        <c:majorTickMark val="out"/>
        <c:minorTickMark val="none"/>
        <c:tickLblPos val="nextTo"/>
        <c:crossAx val="199354624"/>
        <c:crosses val="autoZero"/>
        <c:crossBetween val="between"/>
      </c:valAx>
    </c:plotArea>
    <c:legend>
      <c:legendPos val="r"/>
      <c:layout>
        <c:manualLayout>
          <c:xMode val="edge"/>
          <c:yMode val="edge"/>
          <c:x val="0.81143190434529022"/>
          <c:y val="0.20002498353283552"/>
          <c:w val="0.16872682581344001"/>
          <c:h val="0.3251311717440834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06053348160187"/>
          <c:y val="3.4210301570448937E-2"/>
          <c:w val="0.61269046000200644"/>
          <c:h val="0.45341011213055832"/>
        </c:manualLayout>
      </c:layout>
      <c:barChart>
        <c:barDir val="col"/>
        <c:grouping val="clustered"/>
        <c:varyColors val="0"/>
        <c:ser>
          <c:idx val="0"/>
          <c:order val="0"/>
          <c:tx>
            <c:v>Počet obyvateľov v %</c:v>
          </c:tx>
          <c:invertIfNegative val="0"/>
          <c:dLbls>
            <c:dLbl>
              <c:idx val="0"/>
              <c:layout>
                <c:manualLayout>
                  <c:x val="1.10590802189105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4.6448136919424406E-2"/>
                  <c:y val="1.698093882931001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2.4329976481603274E-2"/>
                  <c:y val="-6.79237553172400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1.3270896262692773E-2"/>
                  <c:y val="3.396187765862003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Hárok1!$B$157:$B$172</c:f>
              <c:strCache>
                <c:ptCount val="16"/>
                <c:pt idx="0">
                  <c:v>Poľnohospodárstvo, poľovníctvo a súvisiace služby</c:v>
                </c:pt>
                <c:pt idx="1">
                  <c:v>Lesníctvo, ťažba dreva a pridružené služby</c:v>
                </c:pt>
                <c:pt idx="2">
                  <c:v>Ťažba nerastných surovín</c:v>
                </c:pt>
                <c:pt idx="3">
                  <c:v>Priemyselná výroba</c:v>
                </c:pt>
                <c:pt idx="4">
                  <c:v>Výroba a rozvod elektriny, plynu a vody</c:v>
                </c:pt>
                <c:pt idx="5">
                  <c:v>Stavebníctvo</c:v>
                </c:pt>
                <c:pt idx="6">
                  <c:v>Veľkoobchod a maloobchod</c:v>
                </c:pt>
                <c:pt idx="7">
                  <c:v>Hotely a reštaurácie</c:v>
                </c:pt>
                <c:pt idx="8">
                  <c:v>Doprava, skladovanie a spoje</c:v>
                </c:pt>
                <c:pt idx="9">
                  <c:v>Peňažníctvo a poisťovníctvo</c:v>
                </c:pt>
                <c:pt idx="10">
                  <c:v>Nehnuteľnosti, prenajímanie a obchodné služby</c:v>
                </c:pt>
                <c:pt idx="11">
                  <c:v>Verejná správa a obrana, povinné sociálne zabezpečenie</c:v>
                </c:pt>
                <c:pt idx="12">
                  <c:v>Školstvo</c:v>
                </c:pt>
                <c:pt idx="13">
                  <c:v>Zdravotníctvo a sociálna starostlivosť</c:v>
                </c:pt>
                <c:pt idx="14">
                  <c:v>Ostatné verejné, sociálne a osobné služby</c:v>
                </c:pt>
                <c:pt idx="15">
                  <c:v>EA bez udania odvetví</c:v>
                </c:pt>
              </c:strCache>
            </c:strRef>
          </c:cat>
          <c:val>
            <c:numRef>
              <c:f>Hárok1!$D$157:$D$172</c:f>
              <c:numCache>
                <c:formatCode>0.0%</c:formatCode>
                <c:ptCount val="16"/>
                <c:pt idx="0">
                  <c:v>6.4935064935064929E-2</c:v>
                </c:pt>
                <c:pt idx="1">
                  <c:v>0</c:v>
                </c:pt>
                <c:pt idx="2">
                  <c:v>0</c:v>
                </c:pt>
                <c:pt idx="3">
                  <c:v>0.15151515151515157</c:v>
                </c:pt>
                <c:pt idx="4">
                  <c:v>4.3290043290043295E-2</c:v>
                </c:pt>
                <c:pt idx="5">
                  <c:v>0.21645021645021648</c:v>
                </c:pt>
                <c:pt idx="6">
                  <c:v>0.21645021645021648</c:v>
                </c:pt>
                <c:pt idx="7">
                  <c:v>4.3290043290043295E-2</c:v>
                </c:pt>
                <c:pt idx="8">
                  <c:v>4.3290043290043295E-2</c:v>
                </c:pt>
                <c:pt idx="9">
                  <c:v>0</c:v>
                </c:pt>
                <c:pt idx="10">
                  <c:v>0</c:v>
                </c:pt>
                <c:pt idx="11">
                  <c:v>4.3290043290043295E-2</c:v>
                </c:pt>
                <c:pt idx="12">
                  <c:v>4.3290043290043295E-2</c:v>
                </c:pt>
                <c:pt idx="13">
                  <c:v>6.4935064935064929E-2</c:v>
                </c:pt>
                <c:pt idx="14">
                  <c:v>0</c:v>
                </c:pt>
                <c:pt idx="15">
                  <c:v>6.9264069264069264E-2</c:v>
                </c:pt>
              </c:numCache>
            </c:numRef>
          </c:val>
        </c:ser>
        <c:dLbls>
          <c:showLegendKey val="0"/>
          <c:showVal val="1"/>
          <c:showCatName val="0"/>
          <c:showSerName val="0"/>
          <c:showPercent val="0"/>
          <c:showBubbleSize val="0"/>
        </c:dLbls>
        <c:gapWidth val="150"/>
        <c:axId val="199051520"/>
        <c:axId val="199070848"/>
      </c:barChart>
      <c:catAx>
        <c:axId val="199051520"/>
        <c:scaling>
          <c:orientation val="minMax"/>
        </c:scaling>
        <c:delete val="0"/>
        <c:axPos val="b"/>
        <c:numFmt formatCode="General" sourceLinked="0"/>
        <c:majorTickMark val="out"/>
        <c:minorTickMark val="none"/>
        <c:tickLblPos val="nextTo"/>
        <c:crossAx val="199070848"/>
        <c:crosses val="autoZero"/>
        <c:auto val="1"/>
        <c:lblAlgn val="ctr"/>
        <c:lblOffset val="100"/>
        <c:noMultiLvlLbl val="0"/>
      </c:catAx>
      <c:valAx>
        <c:axId val="199070848"/>
        <c:scaling>
          <c:orientation val="minMax"/>
        </c:scaling>
        <c:delete val="0"/>
        <c:axPos val="l"/>
        <c:majorGridlines/>
        <c:numFmt formatCode="0.0%" sourceLinked="1"/>
        <c:majorTickMark val="out"/>
        <c:minorTickMark val="none"/>
        <c:tickLblPos val="nextTo"/>
        <c:crossAx val="19905152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Hárok1!$C$176:$L$176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Hárok1!$C$177:$L$177</c:f>
              <c:numCache>
                <c:formatCode>General</c:formatCode>
                <c:ptCount val="10"/>
                <c:pt idx="0">
                  <c:v>72</c:v>
                </c:pt>
                <c:pt idx="1">
                  <c:v>57</c:v>
                </c:pt>
                <c:pt idx="2">
                  <c:v>36</c:v>
                </c:pt>
                <c:pt idx="3">
                  <c:v>31</c:v>
                </c:pt>
                <c:pt idx="4">
                  <c:v>47</c:v>
                </c:pt>
                <c:pt idx="5">
                  <c:v>31</c:v>
                </c:pt>
                <c:pt idx="6">
                  <c:v>42</c:v>
                </c:pt>
                <c:pt idx="7">
                  <c:v>50</c:v>
                </c:pt>
                <c:pt idx="8">
                  <c:v>49</c:v>
                </c:pt>
                <c:pt idx="9">
                  <c:v>48</c:v>
                </c:pt>
              </c:numCache>
            </c:numRef>
          </c:val>
        </c:ser>
        <c:dLbls>
          <c:showLegendKey val="0"/>
          <c:showVal val="1"/>
          <c:showCatName val="0"/>
          <c:showSerName val="0"/>
          <c:showPercent val="0"/>
          <c:showBubbleSize val="0"/>
        </c:dLbls>
        <c:gapWidth val="150"/>
        <c:axId val="199077248"/>
        <c:axId val="199092480"/>
      </c:barChart>
      <c:catAx>
        <c:axId val="199077248"/>
        <c:scaling>
          <c:orientation val="minMax"/>
        </c:scaling>
        <c:delete val="0"/>
        <c:axPos val="b"/>
        <c:numFmt formatCode="General" sourceLinked="1"/>
        <c:majorTickMark val="out"/>
        <c:minorTickMark val="none"/>
        <c:tickLblPos val="nextTo"/>
        <c:crossAx val="199092480"/>
        <c:crosses val="autoZero"/>
        <c:auto val="1"/>
        <c:lblAlgn val="ctr"/>
        <c:lblOffset val="100"/>
        <c:noMultiLvlLbl val="0"/>
      </c:catAx>
      <c:valAx>
        <c:axId val="199092480"/>
        <c:scaling>
          <c:orientation val="minMax"/>
        </c:scaling>
        <c:delete val="0"/>
        <c:axPos val="l"/>
        <c:majorGridlines/>
        <c:numFmt formatCode="General" sourceLinked="1"/>
        <c:majorTickMark val="out"/>
        <c:minorTickMark val="none"/>
        <c:tickLblPos val="nextTo"/>
        <c:crossAx val="19907724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Hárok1!$C$181</c:f>
              <c:strCache>
                <c:ptCount val="1"/>
                <c:pt idx="0">
                  <c:v>Počet žiakov</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Hárok1!$B$182:$B$193</c:f>
              <c:strCache>
                <c:ptCount val="12"/>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pt idx="11">
                  <c:v>2013/2014</c:v>
                </c:pt>
              </c:strCache>
            </c:strRef>
          </c:cat>
          <c:val>
            <c:numRef>
              <c:f>Hárok1!$C$182:$C$193</c:f>
              <c:numCache>
                <c:formatCode>General</c:formatCode>
                <c:ptCount val="12"/>
                <c:pt idx="0">
                  <c:v>31</c:v>
                </c:pt>
                <c:pt idx="1">
                  <c:v>32</c:v>
                </c:pt>
                <c:pt idx="2">
                  <c:v>27</c:v>
                </c:pt>
                <c:pt idx="3">
                  <c:v>25</c:v>
                </c:pt>
                <c:pt idx="4">
                  <c:v>25</c:v>
                </c:pt>
                <c:pt idx="5">
                  <c:v>22</c:v>
                </c:pt>
                <c:pt idx="6">
                  <c:v>22</c:v>
                </c:pt>
                <c:pt idx="7">
                  <c:v>18</c:v>
                </c:pt>
                <c:pt idx="8">
                  <c:v>18</c:v>
                </c:pt>
                <c:pt idx="9">
                  <c:v>16</c:v>
                </c:pt>
                <c:pt idx="10">
                  <c:v>16</c:v>
                </c:pt>
                <c:pt idx="11">
                  <c:v>14</c:v>
                </c:pt>
              </c:numCache>
            </c:numRef>
          </c:val>
        </c:ser>
        <c:dLbls>
          <c:showLegendKey val="0"/>
          <c:showVal val="1"/>
          <c:showCatName val="0"/>
          <c:showSerName val="0"/>
          <c:showPercent val="0"/>
          <c:showBubbleSize val="0"/>
        </c:dLbls>
        <c:gapWidth val="150"/>
        <c:axId val="199119616"/>
        <c:axId val="199122304"/>
      </c:barChart>
      <c:catAx>
        <c:axId val="199119616"/>
        <c:scaling>
          <c:orientation val="minMax"/>
        </c:scaling>
        <c:delete val="0"/>
        <c:axPos val="b"/>
        <c:numFmt formatCode="General" sourceLinked="0"/>
        <c:majorTickMark val="out"/>
        <c:minorTickMark val="none"/>
        <c:tickLblPos val="nextTo"/>
        <c:crossAx val="199122304"/>
        <c:crosses val="autoZero"/>
        <c:auto val="1"/>
        <c:lblAlgn val="ctr"/>
        <c:lblOffset val="100"/>
        <c:noMultiLvlLbl val="0"/>
      </c:catAx>
      <c:valAx>
        <c:axId val="199122304"/>
        <c:scaling>
          <c:orientation val="minMax"/>
        </c:scaling>
        <c:delete val="0"/>
        <c:axPos val="l"/>
        <c:majorGridlines/>
        <c:numFmt formatCode="General" sourceLinked="1"/>
        <c:majorTickMark val="out"/>
        <c:minorTickMark val="none"/>
        <c:tickLblPos val="nextTo"/>
        <c:crossAx val="19911961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5916666666666716E-2"/>
          <c:y val="0.11336689272222475"/>
          <c:w val="0.63505686789151361"/>
          <c:h val="0.85650320877520358"/>
        </c:manualLayout>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Hárok1!$N$182:$N$184</c:f>
              <c:strCache>
                <c:ptCount val="3"/>
                <c:pt idx="0">
                  <c:v>Primárny sektor</c:v>
                </c:pt>
                <c:pt idx="1">
                  <c:v>Sekundárny sektor</c:v>
                </c:pt>
                <c:pt idx="2">
                  <c:v>Terciárny sektor</c:v>
                </c:pt>
              </c:strCache>
            </c:strRef>
          </c:cat>
          <c:val>
            <c:numRef>
              <c:f>Hárok1!$O$182:$O$184</c:f>
              <c:numCache>
                <c:formatCode>General</c:formatCode>
                <c:ptCount val="3"/>
                <c:pt idx="0">
                  <c:v>4</c:v>
                </c:pt>
                <c:pt idx="1">
                  <c:v>6</c:v>
                </c:pt>
                <c:pt idx="2">
                  <c:v>1</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Hárok1!$C$197</c:f>
              <c:strCache>
                <c:ptCount val="1"/>
                <c:pt idx="0">
                  <c:v>V rodinných domoch</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Hárok1!$B$199:$B$204</c:f>
              <c:strCache>
                <c:ptCount val="6"/>
                <c:pt idx="0">
                  <c:v>Do roku 1945</c:v>
                </c:pt>
                <c:pt idx="1">
                  <c:v>1946-1970</c:v>
                </c:pt>
                <c:pt idx="2">
                  <c:v>1971-1980</c:v>
                </c:pt>
                <c:pt idx="3">
                  <c:v>1981-1990</c:v>
                </c:pt>
                <c:pt idx="4">
                  <c:v>1991-2001</c:v>
                </c:pt>
                <c:pt idx="5">
                  <c:v>2002-2011</c:v>
                </c:pt>
              </c:strCache>
            </c:strRef>
          </c:cat>
          <c:val>
            <c:numRef>
              <c:f>Hárok1!$C$199:$C$204</c:f>
              <c:numCache>
                <c:formatCode>General</c:formatCode>
                <c:ptCount val="6"/>
                <c:pt idx="0">
                  <c:v>100</c:v>
                </c:pt>
                <c:pt idx="1">
                  <c:v>256</c:v>
                </c:pt>
                <c:pt idx="2">
                  <c:v>0</c:v>
                </c:pt>
                <c:pt idx="3">
                  <c:v>0</c:v>
                </c:pt>
                <c:pt idx="4">
                  <c:v>0</c:v>
                </c:pt>
                <c:pt idx="5">
                  <c:v>20</c:v>
                </c:pt>
              </c:numCache>
            </c:numRef>
          </c:val>
        </c:ser>
        <c:ser>
          <c:idx val="1"/>
          <c:order val="1"/>
          <c:tx>
            <c:strRef>
              <c:f>Hárok1!$D$197</c:f>
              <c:strCache>
                <c:ptCount val="1"/>
                <c:pt idx="0">
                  <c:v>V bytových domoch</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Hárok1!$B$199:$B$204</c:f>
              <c:strCache>
                <c:ptCount val="6"/>
                <c:pt idx="0">
                  <c:v>Do roku 1945</c:v>
                </c:pt>
                <c:pt idx="1">
                  <c:v>1946-1970</c:v>
                </c:pt>
                <c:pt idx="2">
                  <c:v>1971-1980</c:v>
                </c:pt>
                <c:pt idx="3">
                  <c:v>1981-1990</c:v>
                </c:pt>
                <c:pt idx="4">
                  <c:v>1991-2001</c:v>
                </c:pt>
                <c:pt idx="5">
                  <c:v>2002-2011</c:v>
                </c:pt>
              </c:strCache>
            </c:strRef>
          </c:cat>
          <c:val>
            <c:numRef>
              <c:f>Hárok1!$D$199:$D$204</c:f>
              <c:numCache>
                <c:formatCode>General</c:formatCode>
                <c:ptCount val="6"/>
                <c:pt idx="0">
                  <c:v>0</c:v>
                </c:pt>
                <c:pt idx="1">
                  <c:v>0</c:v>
                </c:pt>
                <c:pt idx="2">
                  <c:v>0</c:v>
                </c:pt>
                <c:pt idx="3">
                  <c:v>8</c:v>
                </c:pt>
                <c:pt idx="4">
                  <c:v>0</c:v>
                </c:pt>
                <c:pt idx="5">
                  <c:v>1</c:v>
                </c:pt>
              </c:numCache>
            </c:numRef>
          </c:val>
        </c:ser>
        <c:dLbls>
          <c:showLegendKey val="0"/>
          <c:showVal val="1"/>
          <c:showCatName val="0"/>
          <c:showSerName val="0"/>
          <c:showPercent val="0"/>
          <c:showBubbleSize val="0"/>
        </c:dLbls>
        <c:gapWidth val="150"/>
        <c:axId val="199244800"/>
        <c:axId val="199254784"/>
      </c:barChart>
      <c:catAx>
        <c:axId val="199244800"/>
        <c:scaling>
          <c:orientation val="minMax"/>
        </c:scaling>
        <c:delete val="0"/>
        <c:axPos val="b"/>
        <c:numFmt formatCode="General" sourceLinked="0"/>
        <c:majorTickMark val="out"/>
        <c:minorTickMark val="none"/>
        <c:tickLblPos val="nextTo"/>
        <c:crossAx val="199254784"/>
        <c:crosses val="autoZero"/>
        <c:auto val="1"/>
        <c:lblAlgn val="ctr"/>
        <c:lblOffset val="100"/>
        <c:noMultiLvlLbl val="0"/>
      </c:catAx>
      <c:valAx>
        <c:axId val="199254784"/>
        <c:scaling>
          <c:orientation val="minMax"/>
        </c:scaling>
        <c:delete val="0"/>
        <c:axPos val="l"/>
        <c:majorGridlines/>
        <c:numFmt formatCode="General" sourceLinked="1"/>
        <c:majorTickMark val="out"/>
        <c:minorTickMark val="none"/>
        <c:tickLblPos val="nextTo"/>
        <c:crossAx val="1992448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90"/>
      <c:rAngAx val="0"/>
      <c:perspective val="30"/>
    </c:view3D>
    <c:floor>
      <c:thickness val="0"/>
    </c:floor>
    <c:sideWall>
      <c:thickness val="0"/>
    </c:sideWall>
    <c:backWall>
      <c:thickness val="0"/>
    </c:backWall>
    <c:plotArea>
      <c:layout>
        <c:manualLayout>
          <c:layoutTarget val="inner"/>
          <c:xMode val="edge"/>
          <c:yMode val="edge"/>
          <c:x val="4.1823205113714852E-2"/>
          <c:y val="6.2499925151941749E-2"/>
          <c:w val="0.65889110751108459"/>
          <c:h val="0.90541840064668722"/>
        </c:manualLayout>
      </c:layout>
      <c:pie3DChart>
        <c:varyColors val="1"/>
        <c:ser>
          <c:idx val="0"/>
          <c:order val="0"/>
          <c:explosion val="25"/>
          <c:dLbls>
            <c:dLbl>
              <c:idx val="0"/>
              <c:layout>
                <c:manualLayout>
                  <c:x val="-7.0478092152356564E-2"/>
                  <c:y val="-0.10316218077303102"/>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6.8997475793994723E-3"/>
                  <c:y val="4.395916289931437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Hárok1!$B$10:$B$16</c:f>
              <c:strCache>
                <c:ptCount val="7"/>
                <c:pt idx="0">
                  <c:v>Agát</c:v>
                </c:pt>
                <c:pt idx="1">
                  <c:v>Dub</c:v>
                </c:pt>
                <c:pt idx="2">
                  <c:v>Jaseň</c:v>
                </c:pt>
                <c:pt idx="3">
                  <c:v>Javor</c:v>
                </c:pt>
                <c:pt idx="4">
                  <c:v>Ostatné listnaté</c:v>
                </c:pt>
                <c:pt idx="5">
                  <c:v>Topoľ</c:v>
                </c:pt>
                <c:pt idx="6">
                  <c:v>Topoľ šľachtený</c:v>
                </c:pt>
              </c:strCache>
            </c:strRef>
          </c:cat>
          <c:val>
            <c:numRef>
              <c:f>Hárok1!$C$10:$C$16</c:f>
              <c:numCache>
                <c:formatCode>General</c:formatCode>
                <c:ptCount val="7"/>
                <c:pt idx="0">
                  <c:v>4.2300000000000004</c:v>
                </c:pt>
                <c:pt idx="1">
                  <c:v>1.4</c:v>
                </c:pt>
                <c:pt idx="2">
                  <c:v>1.45</c:v>
                </c:pt>
                <c:pt idx="3">
                  <c:v>0.28000000000000008</c:v>
                </c:pt>
                <c:pt idx="4">
                  <c:v>0.35000000000000026</c:v>
                </c:pt>
                <c:pt idx="5">
                  <c:v>0.26</c:v>
                </c:pt>
                <c:pt idx="6">
                  <c:v>2.92</c:v>
                </c:pt>
              </c:numCache>
            </c:numRef>
          </c:val>
        </c:ser>
        <c:dLbls>
          <c:showLegendKey val="0"/>
          <c:showVal val="1"/>
          <c:showCatName val="0"/>
          <c:showSerName val="0"/>
          <c:showPercent val="0"/>
          <c:showBubbleSize val="0"/>
          <c:showLeaderLines val="1"/>
        </c:dLbls>
      </c:pie3DChart>
    </c:plotArea>
    <c:legend>
      <c:legendPos val="r"/>
      <c:overlay val="0"/>
      <c:txPr>
        <a:bodyPr/>
        <a:lstStyle/>
        <a:p>
          <a:pPr rtl="0">
            <a:defRPr/>
          </a:pPr>
          <a:endParaRPr lang="sk-SK"/>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Hárok1!$I$43:$R$43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Hárok1!$I$44:$R$44</c:f>
              <c:numCache>
                <c:formatCode>General</c:formatCode>
                <c:ptCount val="10"/>
                <c:pt idx="0">
                  <c:v>913</c:v>
                </c:pt>
                <c:pt idx="1">
                  <c:v>909</c:v>
                </c:pt>
                <c:pt idx="2">
                  <c:v>900</c:v>
                </c:pt>
                <c:pt idx="3">
                  <c:v>917</c:v>
                </c:pt>
                <c:pt idx="4">
                  <c:v>907</c:v>
                </c:pt>
                <c:pt idx="5">
                  <c:v>908</c:v>
                </c:pt>
                <c:pt idx="6">
                  <c:v>900</c:v>
                </c:pt>
                <c:pt idx="7">
                  <c:v>896</c:v>
                </c:pt>
                <c:pt idx="8">
                  <c:v>888</c:v>
                </c:pt>
                <c:pt idx="9">
                  <c:v>909</c:v>
                </c:pt>
              </c:numCache>
            </c:numRef>
          </c:val>
          <c:smooth val="0"/>
        </c:ser>
        <c:dLbls>
          <c:showLegendKey val="0"/>
          <c:showVal val="1"/>
          <c:showCatName val="0"/>
          <c:showSerName val="0"/>
          <c:showPercent val="0"/>
          <c:showBubbleSize val="0"/>
        </c:dLbls>
        <c:marker val="1"/>
        <c:smooth val="0"/>
        <c:axId val="193424768"/>
        <c:axId val="193440000"/>
      </c:lineChart>
      <c:catAx>
        <c:axId val="193424768"/>
        <c:scaling>
          <c:orientation val="minMax"/>
        </c:scaling>
        <c:delete val="0"/>
        <c:axPos val="b"/>
        <c:numFmt formatCode="General" sourceLinked="1"/>
        <c:majorTickMark val="out"/>
        <c:minorTickMark val="none"/>
        <c:tickLblPos val="nextTo"/>
        <c:crossAx val="193440000"/>
        <c:crosses val="autoZero"/>
        <c:auto val="1"/>
        <c:lblAlgn val="ctr"/>
        <c:lblOffset val="100"/>
        <c:noMultiLvlLbl val="0"/>
      </c:catAx>
      <c:valAx>
        <c:axId val="193440000"/>
        <c:scaling>
          <c:orientation val="minMax"/>
        </c:scaling>
        <c:delete val="0"/>
        <c:axPos val="l"/>
        <c:majorGridlines/>
        <c:numFmt formatCode="General" sourceLinked="1"/>
        <c:majorTickMark val="out"/>
        <c:minorTickMark val="none"/>
        <c:tickLblPos val="nextTo"/>
        <c:crossAx val="1934247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Hárok1!$I$56</c:f>
              <c:strCache>
                <c:ptCount val="1"/>
                <c:pt idx="0">
                  <c:v>ženy</c:v>
                </c:pt>
              </c:strCache>
            </c:strRef>
          </c:tx>
          <c:spPr>
            <a:ln w="28575" cap="flat" cmpd="sng" algn="ctr">
              <a:solidFill>
                <a:schemeClr val="accent2"/>
              </a:solidFill>
              <a:prstDash val="solid"/>
            </a:ln>
            <a:effectLst/>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Hárok1!$J$55:$S$55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Hárok1!$J$56:$S$56</c:f>
              <c:numCache>
                <c:formatCode>General</c:formatCode>
                <c:ptCount val="10"/>
                <c:pt idx="0">
                  <c:v>463</c:v>
                </c:pt>
                <c:pt idx="1">
                  <c:v>461</c:v>
                </c:pt>
                <c:pt idx="2">
                  <c:v>458</c:v>
                </c:pt>
                <c:pt idx="3">
                  <c:v>478</c:v>
                </c:pt>
                <c:pt idx="4">
                  <c:v>477</c:v>
                </c:pt>
                <c:pt idx="5">
                  <c:v>480</c:v>
                </c:pt>
                <c:pt idx="6">
                  <c:v>467</c:v>
                </c:pt>
                <c:pt idx="7">
                  <c:v>465</c:v>
                </c:pt>
                <c:pt idx="8">
                  <c:v>466</c:v>
                </c:pt>
                <c:pt idx="9">
                  <c:v>481</c:v>
                </c:pt>
              </c:numCache>
            </c:numRef>
          </c:val>
          <c:smooth val="0"/>
        </c:ser>
        <c:ser>
          <c:idx val="1"/>
          <c:order val="1"/>
          <c:tx>
            <c:strRef>
              <c:f>Hárok1!$I$57</c:f>
              <c:strCache>
                <c:ptCount val="1"/>
                <c:pt idx="0">
                  <c:v>muži</c:v>
                </c:pt>
              </c:strCache>
            </c:strRef>
          </c:tx>
          <c:spPr>
            <a:ln w="38100" cap="flat" cmpd="sng" algn="ctr">
              <a:solidFill>
                <a:schemeClr val="accent1"/>
              </a:solidFill>
              <a:prstDash val="solid"/>
            </a:ln>
            <a:effectLst/>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Hárok1!$J$55:$S$55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Hárok1!$J$57:$S$57</c:f>
              <c:numCache>
                <c:formatCode>General</c:formatCode>
                <c:ptCount val="10"/>
                <c:pt idx="0">
                  <c:v>450</c:v>
                </c:pt>
                <c:pt idx="1">
                  <c:v>448</c:v>
                </c:pt>
                <c:pt idx="2">
                  <c:v>442</c:v>
                </c:pt>
                <c:pt idx="3">
                  <c:v>439</c:v>
                </c:pt>
                <c:pt idx="4">
                  <c:v>430</c:v>
                </c:pt>
                <c:pt idx="5">
                  <c:v>428</c:v>
                </c:pt>
                <c:pt idx="6">
                  <c:v>433</c:v>
                </c:pt>
                <c:pt idx="7">
                  <c:v>431</c:v>
                </c:pt>
                <c:pt idx="8">
                  <c:v>422</c:v>
                </c:pt>
                <c:pt idx="9">
                  <c:v>428</c:v>
                </c:pt>
              </c:numCache>
            </c:numRef>
          </c:val>
          <c:smooth val="0"/>
        </c:ser>
        <c:dLbls>
          <c:showLegendKey val="0"/>
          <c:showVal val="1"/>
          <c:showCatName val="0"/>
          <c:showSerName val="0"/>
          <c:showPercent val="0"/>
          <c:showBubbleSize val="0"/>
        </c:dLbls>
        <c:marker val="1"/>
        <c:smooth val="0"/>
        <c:axId val="193461248"/>
        <c:axId val="193598208"/>
      </c:lineChart>
      <c:catAx>
        <c:axId val="193461248"/>
        <c:scaling>
          <c:orientation val="minMax"/>
        </c:scaling>
        <c:delete val="0"/>
        <c:axPos val="b"/>
        <c:numFmt formatCode="General" sourceLinked="1"/>
        <c:majorTickMark val="out"/>
        <c:minorTickMark val="none"/>
        <c:tickLblPos val="nextTo"/>
        <c:crossAx val="193598208"/>
        <c:crosses val="autoZero"/>
        <c:auto val="1"/>
        <c:lblAlgn val="ctr"/>
        <c:lblOffset val="100"/>
        <c:noMultiLvlLbl val="0"/>
      </c:catAx>
      <c:valAx>
        <c:axId val="193598208"/>
        <c:scaling>
          <c:orientation val="minMax"/>
        </c:scaling>
        <c:delete val="0"/>
        <c:axPos val="l"/>
        <c:majorGridlines/>
        <c:numFmt formatCode="General" sourceLinked="1"/>
        <c:majorTickMark val="out"/>
        <c:minorTickMark val="none"/>
        <c:tickLblPos val="nextTo"/>
        <c:crossAx val="1934612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Narodení</c:v>
          </c:tx>
          <c:marker>
            <c:symbol val="none"/>
          </c:marker>
          <c:cat>
            <c:numRef>
              <c:f>Hárok1!$C$74:$L$74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Hárok1!$C$75:$L$75</c:f>
              <c:numCache>
                <c:formatCode>General</c:formatCode>
                <c:ptCount val="10"/>
                <c:pt idx="0">
                  <c:v>6</c:v>
                </c:pt>
                <c:pt idx="1">
                  <c:v>6</c:v>
                </c:pt>
                <c:pt idx="2">
                  <c:v>9</c:v>
                </c:pt>
                <c:pt idx="3">
                  <c:v>9</c:v>
                </c:pt>
                <c:pt idx="4">
                  <c:v>9</c:v>
                </c:pt>
                <c:pt idx="5">
                  <c:v>11</c:v>
                </c:pt>
                <c:pt idx="6">
                  <c:v>8</c:v>
                </c:pt>
                <c:pt idx="7">
                  <c:v>5</c:v>
                </c:pt>
                <c:pt idx="8">
                  <c:v>13</c:v>
                </c:pt>
                <c:pt idx="9">
                  <c:v>7</c:v>
                </c:pt>
              </c:numCache>
            </c:numRef>
          </c:val>
          <c:smooth val="0"/>
        </c:ser>
        <c:ser>
          <c:idx val="1"/>
          <c:order val="1"/>
          <c:tx>
            <c:v>Zomrelí</c:v>
          </c:tx>
          <c:marker>
            <c:symbol val="none"/>
          </c:marker>
          <c:cat>
            <c:numRef>
              <c:f>Hárok1!$C$74:$L$74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Hárok1!$C$76:$L$76</c:f>
              <c:numCache>
                <c:formatCode>General</c:formatCode>
                <c:ptCount val="10"/>
                <c:pt idx="0">
                  <c:v>12</c:v>
                </c:pt>
                <c:pt idx="1">
                  <c:v>11</c:v>
                </c:pt>
                <c:pt idx="2">
                  <c:v>14</c:v>
                </c:pt>
                <c:pt idx="3">
                  <c:v>9</c:v>
                </c:pt>
                <c:pt idx="4">
                  <c:v>15</c:v>
                </c:pt>
                <c:pt idx="5">
                  <c:v>15</c:v>
                </c:pt>
                <c:pt idx="6">
                  <c:v>17</c:v>
                </c:pt>
                <c:pt idx="7">
                  <c:v>14</c:v>
                </c:pt>
                <c:pt idx="8">
                  <c:v>7</c:v>
                </c:pt>
                <c:pt idx="9">
                  <c:v>14</c:v>
                </c:pt>
              </c:numCache>
            </c:numRef>
          </c:val>
          <c:smooth val="0"/>
        </c:ser>
        <c:ser>
          <c:idx val="2"/>
          <c:order val="2"/>
          <c:tx>
            <c:v>Demografické saldo</c:v>
          </c:tx>
          <c:marker>
            <c:symbol val="none"/>
          </c:marker>
          <c:cat>
            <c:numRef>
              <c:f>Hárok1!$C$74:$L$74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Hárok1!$C$77:$L$77</c:f>
              <c:numCache>
                <c:formatCode>General</c:formatCode>
                <c:ptCount val="10"/>
                <c:pt idx="0">
                  <c:v>-6</c:v>
                </c:pt>
                <c:pt idx="1">
                  <c:v>-5</c:v>
                </c:pt>
                <c:pt idx="2">
                  <c:v>-5</c:v>
                </c:pt>
                <c:pt idx="3">
                  <c:v>0</c:v>
                </c:pt>
                <c:pt idx="4">
                  <c:v>-6</c:v>
                </c:pt>
                <c:pt idx="5">
                  <c:v>-4</c:v>
                </c:pt>
                <c:pt idx="6">
                  <c:v>-9</c:v>
                </c:pt>
                <c:pt idx="7">
                  <c:v>-9</c:v>
                </c:pt>
                <c:pt idx="8">
                  <c:v>6</c:v>
                </c:pt>
                <c:pt idx="9">
                  <c:v>-7</c:v>
                </c:pt>
              </c:numCache>
            </c:numRef>
          </c:val>
          <c:smooth val="0"/>
        </c:ser>
        <c:dLbls>
          <c:showLegendKey val="0"/>
          <c:showVal val="0"/>
          <c:showCatName val="0"/>
          <c:showSerName val="0"/>
          <c:showPercent val="0"/>
          <c:showBubbleSize val="0"/>
        </c:dLbls>
        <c:marker val="1"/>
        <c:smooth val="0"/>
        <c:axId val="193615744"/>
        <c:axId val="193617280"/>
      </c:lineChart>
      <c:catAx>
        <c:axId val="193615744"/>
        <c:scaling>
          <c:orientation val="minMax"/>
        </c:scaling>
        <c:delete val="0"/>
        <c:axPos val="b"/>
        <c:numFmt formatCode="General" sourceLinked="1"/>
        <c:majorTickMark val="out"/>
        <c:minorTickMark val="none"/>
        <c:tickLblPos val="nextTo"/>
        <c:crossAx val="193617280"/>
        <c:crosses val="autoZero"/>
        <c:auto val="1"/>
        <c:lblAlgn val="ctr"/>
        <c:lblOffset val="100"/>
        <c:noMultiLvlLbl val="0"/>
      </c:catAx>
      <c:valAx>
        <c:axId val="193617280"/>
        <c:scaling>
          <c:orientation val="minMax"/>
        </c:scaling>
        <c:delete val="0"/>
        <c:axPos val="l"/>
        <c:majorGridlines/>
        <c:numFmt formatCode="General" sourceLinked="1"/>
        <c:majorTickMark val="out"/>
        <c:minorTickMark val="none"/>
        <c:tickLblPos val="nextTo"/>
        <c:crossAx val="1936157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Prisťahovaní</c:v>
          </c:tx>
          <c:marker>
            <c:symbol val="none"/>
          </c:marker>
          <c:cat>
            <c:numRef>
              <c:f>Hárok1!$C$81:$L$81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Hárok1!$C$82:$L$82</c:f>
              <c:numCache>
                <c:formatCode>General</c:formatCode>
                <c:ptCount val="10"/>
                <c:pt idx="0">
                  <c:v>19</c:v>
                </c:pt>
                <c:pt idx="1">
                  <c:v>9</c:v>
                </c:pt>
                <c:pt idx="2">
                  <c:v>17</c:v>
                </c:pt>
                <c:pt idx="3">
                  <c:v>25</c:v>
                </c:pt>
                <c:pt idx="4">
                  <c:v>14</c:v>
                </c:pt>
                <c:pt idx="5">
                  <c:v>13</c:v>
                </c:pt>
                <c:pt idx="6">
                  <c:v>15</c:v>
                </c:pt>
                <c:pt idx="7">
                  <c:v>15</c:v>
                </c:pt>
                <c:pt idx="8">
                  <c:v>4</c:v>
                </c:pt>
                <c:pt idx="9">
                  <c:v>33</c:v>
                </c:pt>
              </c:numCache>
            </c:numRef>
          </c:val>
          <c:smooth val="0"/>
        </c:ser>
        <c:ser>
          <c:idx val="1"/>
          <c:order val="1"/>
          <c:tx>
            <c:v>Vysťahovaní</c:v>
          </c:tx>
          <c:marker>
            <c:symbol val="none"/>
          </c:marker>
          <c:cat>
            <c:numRef>
              <c:f>Hárok1!$C$81:$L$81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Hárok1!$C$83:$L$83</c:f>
              <c:numCache>
                <c:formatCode>General</c:formatCode>
                <c:ptCount val="10"/>
                <c:pt idx="0">
                  <c:v>17</c:v>
                </c:pt>
                <c:pt idx="1">
                  <c:v>8</c:v>
                </c:pt>
                <c:pt idx="2">
                  <c:v>22</c:v>
                </c:pt>
                <c:pt idx="3">
                  <c:v>8</c:v>
                </c:pt>
                <c:pt idx="4">
                  <c:v>18</c:v>
                </c:pt>
                <c:pt idx="5">
                  <c:v>8</c:v>
                </c:pt>
                <c:pt idx="6">
                  <c:v>14</c:v>
                </c:pt>
                <c:pt idx="7">
                  <c:v>10</c:v>
                </c:pt>
                <c:pt idx="8">
                  <c:v>19</c:v>
                </c:pt>
                <c:pt idx="9">
                  <c:v>5</c:v>
                </c:pt>
              </c:numCache>
            </c:numRef>
          </c:val>
          <c:smooth val="0"/>
        </c:ser>
        <c:ser>
          <c:idx val="2"/>
          <c:order val="2"/>
          <c:tx>
            <c:v>Migračné saldo</c:v>
          </c:tx>
          <c:marker>
            <c:symbol val="none"/>
          </c:marker>
          <c:cat>
            <c:numRef>
              <c:f>Hárok1!$C$81:$L$81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Hárok1!$C$84:$L$84</c:f>
              <c:numCache>
                <c:formatCode>General</c:formatCode>
                <c:ptCount val="10"/>
                <c:pt idx="0">
                  <c:v>2</c:v>
                </c:pt>
                <c:pt idx="1">
                  <c:v>1</c:v>
                </c:pt>
                <c:pt idx="2">
                  <c:v>-5</c:v>
                </c:pt>
                <c:pt idx="3">
                  <c:v>17</c:v>
                </c:pt>
                <c:pt idx="4">
                  <c:v>-4</c:v>
                </c:pt>
                <c:pt idx="5">
                  <c:v>5</c:v>
                </c:pt>
                <c:pt idx="6">
                  <c:v>1</c:v>
                </c:pt>
                <c:pt idx="7">
                  <c:v>5</c:v>
                </c:pt>
                <c:pt idx="8">
                  <c:v>-15</c:v>
                </c:pt>
                <c:pt idx="9">
                  <c:v>28</c:v>
                </c:pt>
              </c:numCache>
            </c:numRef>
          </c:val>
          <c:smooth val="0"/>
        </c:ser>
        <c:dLbls>
          <c:showLegendKey val="0"/>
          <c:showVal val="0"/>
          <c:showCatName val="0"/>
          <c:showSerName val="0"/>
          <c:showPercent val="0"/>
          <c:showBubbleSize val="0"/>
        </c:dLbls>
        <c:marker val="1"/>
        <c:smooth val="0"/>
        <c:axId val="193635072"/>
        <c:axId val="193636608"/>
      </c:lineChart>
      <c:catAx>
        <c:axId val="193635072"/>
        <c:scaling>
          <c:orientation val="minMax"/>
        </c:scaling>
        <c:delete val="0"/>
        <c:axPos val="b"/>
        <c:numFmt formatCode="General" sourceLinked="1"/>
        <c:majorTickMark val="out"/>
        <c:minorTickMark val="none"/>
        <c:tickLblPos val="nextTo"/>
        <c:crossAx val="193636608"/>
        <c:crosses val="autoZero"/>
        <c:auto val="1"/>
        <c:lblAlgn val="ctr"/>
        <c:lblOffset val="100"/>
        <c:noMultiLvlLbl val="0"/>
      </c:catAx>
      <c:valAx>
        <c:axId val="193636608"/>
        <c:scaling>
          <c:orientation val="minMax"/>
        </c:scaling>
        <c:delete val="0"/>
        <c:axPos val="l"/>
        <c:majorGridlines/>
        <c:numFmt formatCode="General" sourceLinked="1"/>
        <c:majorTickMark val="out"/>
        <c:minorTickMark val="none"/>
        <c:tickLblPos val="nextTo"/>
        <c:crossAx val="19363507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Celkový prírastok/úbytok</c:v>
          </c:tx>
          <c:marker>
            <c:symbol val="none"/>
          </c:marker>
          <c:cat>
            <c:numRef>
              <c:f>Hárok1!$C$88:$L$88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Hárok1!$C$91:$L$91</c:f>
              <c:numCache>
                <c:formatCode>General</c:formatCode>
                <c:ptCount val="10"/>
                <c:pt idx="0">
                  <c:v>-4</c:v>
                </c:pt>
                <c:pt idx="1">
                  <c:v>-4</c:v>
                </c:pt>
                <c:pt idx="2">
                  <c:v>-10</c:v>
                </c:pt>
                <c:pt idx="3">
                  <c:v>17</c:v>
                </c:pt>
                <c:pt idx="4">
                  <c:v>-10</c:v>
                </c:pt>
                <c:pt idx="5">
                  <c:v>1</c:v>
                </c:pt>
                <c:pt idx="6">
                  <c:v>-8</c:v>
                </c:pt>
                <c:pt idx="7">
                  <c:v>-4</c:v>
                </c:pt>
                <c:pt idx="8">
                  <c:v>-9</c:v>
                </c:pt>
                <c:pt idx="9">
                  <c:v>21</c:v>
                </c:pt>
              </c:numCache>
            </c:numRef>
          </c:val>
          <c:smooth val="0"/>
        </c:ser>
        <c:dLbls>
          <c:showLegendKey val="0"/>
          <c:showVal val="0"/>
          <c:showCatName val="0"/>
          <c:showSerName val="0"/>
          <c:showPercent val="0"/>
          <c:showBubbleSize val="0"/>
        </c:dLbls>
        <c:marker val="1"/>
        <c:smooth val="0"/>
        <c:axId val="193648512"/>
        <c:axId val="193650048"/>
      </c:lineChart>
      <c:catAx>
        <c:axId val="193648512"/>
        <c:scaling>
          <c:orientation val="minMax"/>
        </c:scaling>
        <c:delete val="0"/>
        <c:axPos val="b"/>
        <c:numFmt formatCode="General" sourceLinked="1"/>
        <c:majorTickMark val="out"/>
        <c:minorTickMark val="none"/>
        <c:tickLblPos val="nextTo"/>
        <c:crossAx val="193650048"/>
        <c:crosses val="autoZero"/>
        <c:auto val="1"/>
        <c:lblAlgn val="ctr"/>
        <c:lblOffset val="100"/>
        <c:noMultiLvlLbl val="0"/>
      </c:catAx>
      <c:valAx>
        <c:axId val="193650048"/>
        <c:scaling>
          <c:orientation val="minMax"/>
        </c:scaling>
        <c:delete val="0"/>
        <c:axPos val="l"/>
        <c:majorGridlines/>
        <c:numFmt formatCode="General" sourceLinked="1"/>
        <c:majorTickMark val="out"/>
        <c:minorTickMark val="none"/>
        <c:tickLblPos val="nextTo"/>
        <c:crossAx val="19364851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086991877405251E-2"/>
          <c:y val="0.13399339237580157"/>
          <c:w val="0.69228509337052668"/>
          <c:h val="0.72277229163627343"/>
        </c:manualLayout>
      </c:layout>
      <c:pie3DChart>
        <c:varyColors val="1"/>
        <c:ser>
          <c:idx val="0"/>
          <c:order val="0"/>
          <c:explosion val="25"/>
          <c:dLbls>
            <c:dLbl>
              <c:idx val="0"/>
              <c:layout>
                <c:manualLayout>
                  <c:x val="-0.12064358830692039"/>
                  <c:y val="-0.3021294507871703"/>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0.10470493525370453"/>
                  <c:y val="-2.0367868799258393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'[Grafy a tabuľky Rastislavice.xlsx]Hárok1'!$B$97,'[Grafy a tabuľky Rastislavice.xlsx]Hárok1'!$B$99</c:f>
              <c:strCache>
                <c:ptCount val="2"/>
                <c:pt idx="0">
                  <c:v>Rímskokatolícka cirkev</c:v>
                </c:pt>
                <c:pt idx="1">
                  <c:v>Evanjelická cirkev augsburského vyznania</c:v>
                </c:pt>
              </c:strCache>
            </c:strRef>
          </c:cat>
          <c:val>
            <c:numRef>
              <c:f>'[Grafy a tabuľky Rastislavice.xlsx]Hárok1'!$C$97,'[Grafy a tabuľky Rastislavice.xlsx]Hárok1'!$C$99</c:f>
              <c:numCache>
                <c:formatCode>General</c:formatCode>
                <c:ptCount val="2"/>
                <c:pt idx="0">
                  <c:v>789</c:v>
                </c:pt>
                <c:pt idx="1">
                  <c:v>120</c:v>
                </c:pt>
              </c:numCache>
            </c:numRef>
          </c:val>
        </c:ser>
        <c:dLbls>
          <c:showLegendKey val="0"/>
          <c:showVal val="1"/>
          <c:showCatName val="0"/>
          <c:showSerName val="0"/>
          <c:showPercent val="0"/>
          <c:showBubbleSize val="0"/>
          <c:showLeaderLines val="1"/>
        </c:dLbls>
      </c:pie3DChart>
    </c:plotArea>
    <c:legend>
      <c:legendPos val="b"/>
      <c:overlay val="0"/>
      <c:txPr>
        <a:bodyPr/>
        <a:lstStyle/>
        <a:p>
          <a:pPr rtl="0">
            <a:defRPr/>
          </a:pPr>
          <a:endParaRPr lang="sk-SK"/>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027777777777773E-2"/>
          <c:y val="0.11332501165120394"/>
          <c:w val="0.56105686789151354"/>
          <c:h val="0.85651828920671036"/>
        </c:manualLayout>
      </c:layout>
      <c:pie3DChart>
        <c:varyColors val="1"/>
        <c:ser>
          <c:idx val="0"/>
          <c:order val="0"/>
          <c:explosion val="25"/>
          <c:dLbls>
            <c:dLbl>
              <c:idx val="0"/>
              <c:layout>
                <c:manualLayout>
                  <c:x val="-0.18467366579177602"/>
                  <c:y val="3.0656945991167282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1.9374453193350845E-3"/>
                  <c:y val="-0.16212109029801236"/>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0.11101946631671041"/>
                  <c:y val="-9.7687477056860428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'[Grafy a tabuľky Rastislavice.xlsx]Hárok1'!$B$112,'[Grafy a tabuľky Rastislavice.xlsx]Hárok1'!$B$113,'[Grafy a tabuľky Rastislavice.xlsx]Hárok1'!$B$116,'[Grafy a tabuľky Rastislavice.xlsx]Hárok1'!$B$131</c:f>
              <c:strCache>
                <c:ptCount val="4"/>
                <c:pt idx="0">
                  <c:v>Základné</c:v>
                </c:pt>
                <c:pt idx="1">
                  <c:v>Učňovské (bez maturity)</c:v>
                </c:pt>
                <c:pt idx="2">
                  <c:v>Úplné stredné odborné (s maturitou)</c:v>
                </c:pt>
                <c:pt idx="3">
                  <c:v>Deti do 16 rokov</c:v>
                </c:pt>
              </c:strCache>
            </c:strRef>
          </c:cat>
          <c:val>
            <c:numRef>
              <c:f>'[Grafy a tabuľky Rastislavice.xlsx]Hárok1'!$C$112,'[Grafy a tabuľky Rastislavice.xlsx]Hárok1'!$C$113,'[Grafy a tabuľky Rastislavice.xlsx]Hárok1'!$C$116,'[Grafy a tabuľky Rastislavice.xlsx]Hárok1'!$C$131</c:f>
              <c:numCache>
                <c:formatCode>General</c:formatCode>
                <c:ptCount val="4"/>
                <c:pt idx="0">
                  <c:v>400</c:v>
                </c:pt>
                <c:pt idx="1">
                  <c:v>202</c:v>
                </c:pt>
                <c:pt idx="2">
                  <c:v>110</c:v>
                </c:pt>
                <c:pt idx="3">
                  <c:v>147</c:v>
                </c:pt>
              </c:numCache>
            </c:numRef>
          </c:val>
        </c:ser>
        <c:dLbls>
          <c:showLegendKey val="0"/>
          <c:showVal val="1"/>
          <c:showCatName val="0"/>
          <c:showSerName val="0"/>
          <c:showPercent val="0"/>
          <c:showBubbleSize val="0"/>
          <c:showLeaderLines val="1"/>
        </c:dLbls>
      </c:pie3DChart>
    </c:plotArea>
    <c:legend>
      <c:legendPos val="r"/>
      <c:overlay val="0"/>
      <c:txPr>
        <a:bodyPr/>
        <a:lstStyle/>
        <a:p>
          <a:pPr rtl="0">
            <a:defRPr/>
          </a:pPr>
          <a:endParaRPr lang="sk-SK"/>
        </a:p>
      </c:txPr>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6671-FF0A-4021-82A2-7C3AF41F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6764</Words>
  <Characters>38561</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Lőrinczová</dc:creator>
  <cp:lastModifiedBy>OBEC</cp:lastModifiedBy>
  <cp:revision>7</cp:revision>
  <cp:lastPrinted>2016-01-14T09:36:00Z</cp:lastPrinted>
  <dcterms:created xsi:type="dcterms:W3CDTF">2015-11-18T10:16:00Z</dcterms:created>
  <dcterms:modified xsi:type="dcterms:W3CDTF">2016-01-26T06:35:00Z</dcterms:modified>
</cp:coreProperties>
</file>